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85662" w14:textId="5841666D" w:rsidR="00D31B59" w:rsidRDefault="00F66745">
      <w:pPr>
        <w:jc w:val="center"/>
        <w:rPr>
          <w:rFonts w:ascii="仿宋_GB2312" w:eastAsia="仿宋_GB2312"/>
          <w:b/>
          <w:sz w:val="36"/>
          <w:szCs w:val="36"/>
        </w:rPr>
      </w:pPr>
      <w:r>
        <w:rPr>
          <w:rFonts w:ascii="仿宋_GB2312" w:eastAsia="仿宋_GB2312" w:hint="eastAsia"/>
          <w:b/>
          <w:sz w:val="36"/>
          <w:szCs w:val="36"/>
        </w:rPr>
        <w:t>关于20</w:t>
      </w:r>
      <w:r w:rsidR="004D0994">
        <w:rPr>
          <w:rFonts w:ascii="仿宋_GB2312" w:eastAsia="仿宋_GB2312"/>
          <w:b/>
          <w:sz w:val="36"/>
          <w:szCs w:val="36"/>
        </w:rPr>
        <w:t>20</w:t>
      </w:r>
      <w:r>
        <w:rPr>
          <w:rFonts w:ascii="仿宋_GB2312" w:eastAsia="仿宋_GB2312" w:hint="eastAsia"/>
          <w:b/>
          <w:sz w:val="36"/>
          <w:szCs w:val="36"/>
        </w:rPr>
        <w:t>年春季学期广东外语外贸大学</w:t>
      </w:r>
    </w:p>
    <w:p w14:paraId="3EB6A666" w14:textId="77777777" w:rsidR="00D31B59" w:rsidRDefault="00F66745" w:rsidP="000438E9">
      <w:pPr>
        <w:ind w:firstLineChars="400" w:firstLine="1446"/>
        <w:rPr>
          <w:rFonts w:ascii="仿宋_GB2312" w:eastAsia="仿宋_GB2312"/>
          <w:b/>
          <w:sz w:val="36"/>
          <w:szCs w:val="36"/>
        </w:rPr>
      </w:pPr>
      <w:r>
        <w:rPr>
          <w:rFonts w:ascii="仿宋_GB2312" w:eastAsia="仿宋_GB2312" w:hint="eastAsia"/>
          <w:b/>
          <w:sz w:val="36"/>
          <w:szCs w:val="36"/>
        </w:rPr>
        <w:t>《网络社会实践课程》</w:t>
      </w:r>
      <w:r w:rsidR="000438E9">
        <w:rPr>
          <w:rFonts w:ascii="仿宋_GB2312" w:eastAsia="仿宋_GB2312" w:hint="eastAsia"/>
          <w:b/>
          <w:sz w:val="36"/>
          <w:szCs w:val="36"/>
        </w:rPr>
        <w:t>修读事宜</w:t>
      </w:r>
    </w:p>
    <w:p w14:paraId="001A64C2" w14:textId="77777777" w:rsidR="00D31B59" w:rsidRDefault="00D31B59">
      <w:pPr>
        <w:jc w:val="center"/>
        <w:rPr>
          <w:rFonts w:ascii="仿宋_GB2312" w:eastAsia="仿宋_GB2312"/>
          <w:b/>
          <w:sz w:val="36"/>
          <w:szCs w:val="36"/>
        </w:rPr>
      </w:pPr>
    </w:p>
    <w:p w14:paraId="0F9827D1" w14:textId="77777777" w:rsidR="00D31B59" w:rsidRDefault="00F66745">
      <w:pPr>
        <w:rPr>
          <w:rFonts w:ascii="仿宋_GB2312" w:eastAsia="仿宋_GB2312"/>
          <w:b/>
          <w:bCs/>
          <w:sz w:val="32"/>
          <w:szCs w:val="32"/>
        </w:rPr>
      </w:pPr>
      <w:r>
        <w:rPr>
          <w:rFonts w:ascii="仿宋_GB2312" w:eastAsia="仿宋_GB2312" w:hint="eastAsia"/>
          <w:b/>
          <w:bCs/>
          <w:sz w:val="32"/>
          <w:szCs w:val="32"/>
        </w:rPr>
        <w:t>一、修读要求说明</w:t>
      </w:r>
    </w:p>
    <w:p w14:paraId="5B3C3F63" w14:textId="77777777" w:rsidR="00D31B59" w:rsidRDefault="00F66745">
      <w:pPr>
        <w:rPr>
          <w:rFonts w:ascii="仿宋" w:eastAsia="仿宋" w:hAnsi="仿宋" w:cs="仿宋"/>
          <w:sz w:val="28"/>
          <w:szCs w:val="28"/>
        </w:rPr>
      </w:pPr>
      <w:r>
        <w:rPr>
          <w:rFonts w:ascii="仿宋" w:eastAsia="仿宋" w:hAnsi="仿宋" w:cs="仿宋" w:hint="eastAsia"/>
          <w:b/>
          <w:bCs/>
          <w:sz w:val="28"/>
          <w:szCs w:val="28"/>
        </w:rPr>
        <w:t>1.规定修读时间：</w:t>
      </w:r>
      <w:r>
        <w:rPr>
          <w:rFonts w:ascii="仿宋" w:eastAsia="仿宋" w:hAnsi="仿宋" w:cs="仿宋" w:hint="eastAsia"/>
          <w:sz w:val="28"/>
          <w:szCs w:val="28"/>
        </w:rPr>
        <w:t>自20</w:t>
      </w:r>
      <w:r w:rsidR="00B543C4">
        <w:rPr>
          <w:rFonts w:ascii="仿宋" w:eastAsia="仿宋" w:hAnsi="仿宋" w:cs="仿宋"/>
          <w:sz w:val="28"/>
          <w:szCs w:val="28"/>
        </w:rPr>
        <w:t>20</w:t>
      </w:r>
      <w:r>
        <w:rPr>
          <w:rFonts w:ascii="仿宋" w:eastAsia="仿宋" w:hAnsi="仿宋" w:cs="仿宋" w:hint="eastAsia"/>
          <w:sz w:val="28"/>
          <w:szCs w:val="28"/>
        </w:rPr>
        <w:t>年</w:t>
      </w:r>
      <w:r w:rsidR="00B543C4">
        <w:rPr>
          <w:rFonts w:ascii="仿宋" w:eastAsia="仿宋" w:hAnsi="仿宋" w:cs="仿宋"/>
          <w:sz w:val="28"/>
          <w:szCs w:val="28"/>
        </w:rPr>
        <w:t>5</w:t>
      </w:r>
      <w:r>
        <w:rPr>
          <w:rFonts w:ascii="仿宋" w:eastAsia="仿宋" w:hAnsi="仿宋" w:cs="仿宋" w:hint="eastAsia"/>
          <w:sz w:val="28"/>
          <w:szCs w:val="28"/>
        </w:rPr>
        <w:t>月</w:t>
      </w:r>
      <w:r w:rsidR="00B543C4">
        <w:rPr>
          <w:rFonts w:ascii="仿宋" w:eastAsia="仿宋" w:hAnsi="仿宋" w:cs="仿宋"/>
          <w:sz w:val="28"/>
          <w:szCs w:val="28"/>
        </w:rPr>
        <w:t>18</w:t>
      </w:r>
      <w:r>
        <w:rPr>
          <w:rFonts w:ascii="仿宋" w:eastAsia="仿宋" w:hAnsi="仿宋" w:cs="仿宋" w:hint="eastAsia"/>
          <w:sz w:val="28"/>
          <w:szCs w:val="28"/>
        </w:rPr>
        <w:t>日12:00至20</w:t>
      </w:r>
      <w:r w:rsidR="00B543C4">
        <w:rPr>
          <w:rFonts w:ascii="仿宋" w:eastAsia="仿宋" w:hAnsi="仿宋" w:cs="仿宋"/>
          <w:sz w:val="28"/>
          <w:szCs w:val="28"/>
        </w:rPr>
        <w:t>20</w:t>
      </w:r>
      <w:r>
        <w:rPr>
          <w:rFonts w:ascii="仿宋" w:eastAsia="仿宋" w:hAnsi="仿宋" w:cs="仿宋" w:hint="eastAsia"/>
          <w:sz w:val="28"/>
          <w:szCs w:val="28"/>
        </w:rPr>
        <w:t>年</w:t>
      </w:r>
      <w:r w:rsidR="00B543C4">
        <w:rPr>
          <w:rFonts w:ascii="仿宋" w:eastAsia="仿宋" w:hAnsi="仿宋" w:cs="仿宋"/>
          <w:sz w:val="28"/>
          <w:szCs w:val="28"/>
        </w:rPr>
        <w:t>6</w:t>
      </w:r>
      <w:r>
        <w:rPr>
          <w:rFonts w:ascii="仿宋" w:eastAsia="仿宋" w:hAnsi="仿宋" w:cs="仿宋" w:hint="eastAsia"/>
          <w:sz w:val="28"/>
          <w:szCs w:val="28"/>
        </w:rPr>
        <w:t>月1</w:t>
      </w:r>
      <w:r w:rsidR="00B543C4">
        <w:rPr>
          <w:rFonts w:ascii="仿宋" w:eastAsia="仿宋" w:hAnsi="仿宋" w:cs="仿宋"/>
          <w:sz w:val="28"/>
          <w:szCs w:val="28"/>
        </w:rPr>
        <w:t>7</w:t>
      </w:r>
      <w:r>
        <w:rPr>
          <w:rFonts w:ascii="仿宋" w:eastAsia="仿宋" w:hAnsi="仿宋" w:cs="仿宋" w:hint="eastAsia"/>
          <w:sz w:val="28"/>
          <w:szCs w:val="28"/>
        </w:rPr>
        <w:t>日12:00的一个月内；超出修读时间则关闭修读系统，无法进行课程修读，请同学们在规定修读时间内及时修读完毕全部课程。</w:t>
      </w:r>
    </w:p>
    <w:p w14:paraId="3158A598" w14:textId="4CE0CAE1" w:rsidR="00D31B59" w:rsidRDefault="00F66745">
      <w:pPr>
        <w:rPr>
          <w:rFonts w:ascii="仿宋" w:eastAsia="仿宋" w:hAnsi="仿宋" w:cs="仿宋"/>
          <w:sz w:val="28"/>
          <w:szCs w:val="28"/>
        </w:rPr>
      </w:pPr>
      <w:r>
        <w:rPr>
          <w:rFonts w:ascii="仿宋" w:eastAsia="仿宋" w:hAnsi="仿宋" w:cs="仿宋" w:hint="eastAsia"/>
          <w:b/>
          <w:bCs/>
          <w:sz w:val="28"/>
          <w:szCs w:val="28"/>
        </w:rPr>
        <w:t>2.规定修读课程：</w:t>
      </w:r>
      <w:r>
        <w:rPr>
          <w:rFonts w:ascii="仿宋" w:eastAsia="仿宋" w:hAnsi="仿宋" w:cs="仿宋" w:hint="eastAsia"/>
          <w:sz w:val="28"/>
          <w:szCs w:val="28"/>
        </w:rPr>
        <w:t>在规定修读时间内，学生需全部修读完成《红色文化之井冈山革命旧址》、《红色文化之瑞金革命旧址》、《红色文化之长征精神》</w:t>
      </w:r>
      <w:r w:rsidR="00F90524">
        <w:rPr>
          <w:rFonts w:ascii="仿宋" w:eastAsia="仿宋" w:hAnsi="仿宋" w:cs="仿宋" w:hint="eastAsia"/>
          <w:sz w:val="28"/>
          <w:szCs w:val="28"/>
        </w:rPr>
        <w:t>、</w:t>
      </w:r>
      <w:r>
        <w:rPr>
          <w:rFonts w:ascii="仿宋" w:eastAsia="仿宋" w:hAnsi="仿宋" w:cs="仿宋" w:hint="eastAsia"/>
          <w:sz w:val="28"/>
          <w:szCs w:val="28"/>
        </w:rPr>
        <w:t>《红色文化之走进红色延安》</w:t>
      </w:r>
      <w:r w:rsidR="00F90524">
        <w:rPr>
          <w:rFonts w:ascii="仿宋" w:eastAsia="仿宋" w:hAnsi="仿宋" w:cs="仿宋" w:hint="eastAsia"/>
          <w:sz w:val="28"/>
          <w:szCs w:val="28"/>
        </w:rPr>
        <w:t>以及《千年大计 雄安新区》</w:t>
      </w:r>
      <w:r>
        <w:rPr>
          <w:rFonts w:ascii="仿宋" w:eastAsia="仿宋" w:hAnsi="仿宋" w:cs="仿宋" w:hint="eastAsia"/>
          <w:sz w:val="28"/>
          <w:szCs w:val="28"/>
        </w:rPr>
        <w:t>共</w:t>
      </w:r>
      <w:r w:rsidR="00F90524">
        <w:rPr>
          <w:rFonts w:ascii="仿宋" w:eastAsia="仿宋" w:hAnsi="仿宋" w:cs="仿宋"/>
          <w:sz w:val="28"/>
          <w:szCs w:val="28"/>
        </w:rPr>
        <w:t>5</w:t>
      </w:r>
      <w:r w:rsidR="000438E9">
        <w:rPr>
          <w:rFonts w:ascii="仿宋" w:eastAsia="仿宋" w:hAnsi="仿宋" w:cs="仿宋" w:hint="eastAsia"/>
          <w:sz w:val="28"/>
          <w:szCs w:val="28"/>
        </w:rPr>
        <w:t>个专题内容</w:t>
      </w:r>
      <w:r>
        <w:rPr>
          <w:rFonts w:ascii="仿宋" w:eastAsia="仿宋" w:hAnsi="仿宋" w:cs="仿宋" w:hint="eastAsia"/>
          <w:sz w:val="28"/>
          <w:szCs w:val="28"/>
        </w:rPr>
        <w:t>，包括观看全部课程视频和完成全部课程测验。</w:t>
      </w:r>
      <w:r w:rsidR="004653E0">
        <w:rPr>
          <w:rFonts w:ascii="仿宋" w:eastAsia="仿宋_GB2312" w:hAnsi="仿宋" w:cs="仿宋" w:hint="eastAsia"/>
          <w:sz w:val="28"/>
          <w:szCs w:val="28"/>
        </w:rPr>
        <w:t>（《千年大计</w:t>
      </w:r>
      <w:r w:rsidR="004653E0">
        <w:rPr>
          <w:rFonts w:ascii="仿宋" w:eastAsia="仿宋_GB2312" w:hAnsi="仿宋" w:cs="仿宋" w:hint="eastAsia"/>
          <w:sz w:val="28"/>
          <w:szCs w:val="28"/>
        </w:rPr>
        <w:t xml:space="preserve"> </w:t>
      </w:r>
      <w:r w:rsidR="004653E0">
        <w:rPr>
          <w:rFonts w:ascii="仿宋" w:eastAsia="仿宋_GB2312" w:hAnsi="仿宋" w:cs="仿宋" w:hint="eastAsia"/>
          <w:sz w:val="28"/>
          <w:szCs w:val="28"/>
        </w:rPr>
        <w:t>雄安新区》专题中任务点只有“观看视频”部分因此仅观看视频即可）</w:t>
      </w:r>
    </w:p>
    <w:p w14:paraId="30D58219" w14:textId="5ED7EEC3" w:rsidR="00D31B59" w:rsidRDefault="00F66745">
      <w:pPr>
        <w:rPr>
          <w:rFonts w:ascii="仿宋_GB2312" w:eastAsia="仿宋_GB2312"/>
          <w:sz w:val="28"/>
          <w:szCs w:val="28"/>
        </w:rPr>
      </w:pPr>
      <w:r>
        <w:rPr>
          <w:rFonts w:ascii="仿宋" w:eastAsia="仿宋" w:hAnsi="仿宋" w:cs="仿宋" w:hint="eastAsia"/>
          <w:b/>
          <w:bCs/>
          <w:sz w:val="28"/>
          <w:szCs w:val="28"/>
        </w:rPr>
        <w:t>3.修读方式：</w:t>
      </w:r>
      <w:r>
        <w:rPr>
          <w:rFonts w:ascii="仿宋" w:eastAsia="仿宋" w:hAnsi="仿宋" w:cs="仿宋" w:hint="eastAsia"/>
          <w:sz w:val="28"/>
          <w:szCs w:val="28"/>
        </w:rPr>
        <w:t>在</w:t>
      </w:r>
      <w:r w:rsidR="00B543C4">
        <w:rPr>
          <w:rFonts w:ascii="仿宋" w:eastAsia="仿宋" w:hAnsi="仿宋" w:cs="仿宋"/>
          <w:sz w:val="28"/>
          <w:szCs w:val="28"/>
        </w:rPr>
        <w:t>5</w:t>
      </w:r>
      <w:r>
        <w:rPr>
          <w:rFonts w:ascii="仿宋" w:eastAsia="仿宋" w:hAnsi="仿宋" w:cs="仿宋" w:hint="eastAsia"/>
          <w:sz w:val="28"/>
          <w:szCs w:val="28"/>
        </w:rPr>
        <w:t>月</w:t>
      </w:r>
      <w:r w:rsidR="00B543C4">
        <w:rPr>
          <w:rFonts w:ascii="仿宋" w:eastAsia="仿宋" w:hAnsi="仿宋" w:cs="仿宋"/>
          <w:sz w:val="28"/>
          <w:szCs w:val="28"/>
        </w:rPr>
        <w:t>18</w:t>
      </w:r>
      <w:r>
        <w:rPr>
          <w:rFonts w:ascii="仿宋" w:eastAsia="仿宋" w:hAnsi="仿宋" w:cs="仿宋" w:hint="eastAsia"/>
          <w:sz w:val="28"/>
          <w:szCs w:val="28"/>
        </w:rPr>
        <w:t>日至</w:t>
      </w:r>
      <w:r w:rsidR="00B543C4">
        <w:rPr>
          <w:rFonts w:ascii="仿宋" w:eastAsia="仿宋" w:hAnsi="仿宋" w:cs="仿宋"/>
          <w:sz w:val="28"/>
          <w:szCs w:val="28"/>
        </w:rPr>
        <w:t>6</w:t>
      </w:r>
      <w:r>
        <w:rPr>
          <w:rFonts w:ascii="仿宋" w:eastAsia="仿宋" w:hAnsi="仿宋" w:cs="仿宋" w:hint="eastAsia"/>
          <w:sz w:val="28"/>
          <w:szCs w:val="28"/>
        </w:rPr>
        <w:t>月</w:t>
      </w:r>
      <w:r w:rsidR="00B543C4">
        <w:rPr>
          <w:rFonts w:ascii="仿宋" w:eastAsia="仿宋" w:hAnsi="仿宋" w:cs="仿宋"/>
          <w:sz w:val="28"/>
          <w:szCs w:val="28"/>
        </w:rPr>
        <w:t>17</w:t>
      </w:r>
      <w:r>
        <w:rPr>
          <w:rFonts w:ascii="仿宋" w:eastAsia="仿宋" w:hAnsi="仿宋" w:cs="仿宋" w:hint="eastAsia"/>
          <w:sz w:val="28"/>
          <w:szCs w:val="28"/>
        </w:rPr>
        <w:t>日期间，</w:t>
      </w:r>
      <w:r>
        <w:rPr>
          <w:rFonts w:ascii="仿宋_GB2312" w:eastAsia="仿宋_GB2312" w:hint="eastAsia"/>
          <w:sz w:val="28"/>
          <w:szCs w:val="28"/>
        </w:rPr>
        <w:t>同学们可以通过电脑端自行登录广东外语外贸大学马克思主义学院实践教学平台（http://gdufsmy.fanya.chaoxing.com/）或手机端下载“超星学习通”APP进行自主学习</w:t>
      </w:r>
      <w:r w:rsidR="004D0994">
        <w:rPr>
          <w:rFonts w:ascii="仿宋_GB2312" w:eastAsia="仿宋_GB2312" w:hint="eastAsia"/>
          <w:sz w:val="28"/>
          <w:szCs w:val="28"/>
        </w:rPr>
        <w:t>（在课程中已有相关五门课程的同学请略过登录部分）</w:t>
      </w:r>
      <w:r>
        <w:rPr>
          <w:rFonts w:ascii="仿宋_GB2312" w:eastAsia="仿宋_GB2312" w:hint="eastAsia"/>
          <w:sz w:val="28"/>
          <w:szCs w:val="28"/>
        </w:rPr>
        <w:t>；电脑端与手机端初次登录时登录名均为学号，初始密码为123456，登录后需自行修改密码并绑定手机号；再次登录账号可以直接输入手机号及密码登录，或是使用手机端扫一扫功能扫描二维码登录。</w:t>
      </w:r>
    </w:p>
    <w:p w14:paraId="09ECD6AC" w14:textId="5565666B" w:rsidR="00186738" w:rsidRDefault="00F66745" w:rsidP="00186738">
      <w:pPr>
        <w:ind w:firstLineChars="200" w:firstLine="562"/>
        <w:rPr>
          <w:rFonts w:ascii="宋体" w:hAnsi="宋体" w:cs="宋体"/>
          <w:b/>
          <w:bCs/>
          <w:color w:val="FF0000"/>
          <w:sz w:val="28"/>
          <w:szCs w:val="28"/>
        </w:rPr>
      </w:pPr>
      <w:r>
        <w:rPr>
          <w:rFonts w:ascii="仿宋" w:eastAsia="仿宋_GB2312" w:hAnsi="仿宋" w:cs="仿宋" w:hint="eastAsia"/>
          <w:b/>
          <w:bCs/>
          <w:sz w:val="28"/>
          <w:szCs w:val="28"/>
        </w:rPr>
        <w:t>4.</w:t>
      </w:r>
      <w:r>
        <w:rPr>
          <w:rFonts w:ascii="仿宋" w:eastAsia="仿宋_GB2312" w:hAnsi="仿宋" w:cs="仿宋" w:hint="eastAsia"/>
          <w:b/>
          <w:bCs/>
          <w:sz w:val="28"/>
          <w:szCs w:val="28"/>
        </w:rPr>
        <w:t>考核方式：</w:t>
      </w:r>
      <w:r w:rsidR="00F90524">
        <w:rPr>
          <w:rFonts w:ascii="仿宋" w:eastAsia="仿宋_GB2312" w:hAnsi="仿宋" w:cs="仿宋"/>
          <w:sz w:val="28"/>
          <w:szCs w:val="28"/>
        </w:rPr>
        <w:t>5</w:t>
      </w:r>
      <w:r w:rsidR="000438E9">
        <w:rPr>
          <w:rFonts w:ascii="仿宋" w:eastAsia="仿宋_GB2312" w:hAnsi="仿宋" w:cs="仿宋" w:hint="eastAsia"/>
          <w:sz w:val="28"/>
          <w:szCs w:val="28"/>
        </w:rPr>
        <w:t>个专题内容的学习为</w:t>
      </w:r>
      <w:r>
        <w:rPr>
          <w:rFonts w:ascii="仿宋" w:eastAsia="仿宋_GB2312" w:hAnsi="仿宋" w:cs="仿宋" w:hint="eastAsia"/>
          <w:sz w:val="28"/>
          <w:szCs w:val="28"/>
        </w:rPr>
        <w:t>线上考核，考核总成绩满分</w:t>
      </w:r>
      <w:r>
        <w:rPr>
          <w:rFonts w:ascii="仿宋" w:eastAsia="仿宋_GB2312" w:hAnsi="仿宋" w:cs="仿宋" w:hint="eastAsia"/>
          <w:sz w:val="28"/>
          <w:szCs w:val="28"/>
        </w:rPr>
        <w:lastRenderedPageBreak/>
        <w:t>为</w:t>
      </w:r>
      <w:r>
        <w:rPr>
          <w:rFonts w:ascii="仿宋" w:eastAsia="仿宋_GB2312" w:hAnsi="仿宋" w:cs="仿宋" w:hint="eastAsia"/>
          <w:sz w:val="28"/>
          <w:szCs w:val="28"/>
        </w:rPr>
        <w:t>100</w:t>
      </w:r>
      <w:r>
        <w:rPr>
          <w:rFonts w:ascii="仿宋" w:eastAsia="仿宋_GB2312" w:hAnsi="仿宋" w:cs="仿宋" w:hint="eastAsia"/>
          <w:sz w:val="28"/>
          <w:szCs w:val="28"/>
        </w:rPr>
        <w:t>分，分别由“观看课程视频”任务点成绩和“完成课程测验”任务点成绩两部分组成；“观看课程视频”任务点成绩占总成绩比重为</w:t>
      </w:r>
      <w:r>
        <w:rPr>
          <w:rFonts w:ascii="仿宋" w:eastAsia="仿宋_GB2312" w:hAnsi="仿宋" w:cs="仿宋" w:hint="eastAsia"/>
          <w:sz w:val="28"/>
          <w:szCs w:val="28"/>
        </w:rPr>
        <w:t>50%</w:t>
      </w:r>
      <w:r>
        <w:rPr>
          <w:rFonts w:ascii="仿宋" w:eastAsia="仿宋_GB2312" w:hAnsi="仿宋" w:cs="仿宋" w:hint="eastAsia"/>
          <w:sz w:val="28"/>
          <w:szCs w:val="28"/>
        </w:rPr>
        <w:t>，该部分满分为</w:t>
      </w:r>
      <w:r>
        <w:rPr>
          <w:rFonts w:ascii="仿宋" w:eastAsia="仿宋_GB2312" w:hAnsi="仿宋" w:cs="仿宋" w:hint="eastAsia"/>
          <w:sz w:val="28"/>
          <w:szCs w:val="28"/>
        </w:rPr>
        <w:t>50</w:t>
      </w:r>
      <w:r>
        <w:rPr>
          <w:rFonts w:ascii="仿宋" w:eastAsia="仿宋_GB2312" w:hAnsi="仿宋" w:cs="仿宋" w:hint="eastAsia"/>
          <w:sz w:val="28"/>
          <w:szCs w:val="28"/>
        </w:rPr>
        <w:t>分，观看完成全部课程视频即可获得该部分成绩；“完成课程测验”任务点成绩占总成绩比重为</w:t>
      </w:r>
      <w:r>
        <w:rPr>
          <w:rFonts w:ascii="仿宋" w:eastAsia="仿宋_GB2312" w:hAnsi="仿宋" w:cs="仿宋" w:hint="eastAsia"/>
          <w:sz w:val="28"/>
          <w:szCs w:val="28"/>
        </w:rPr>
        <w:t>50%</w:t>
      </w:r>
      <w:r>
        <w:rPr>
          <w:rFonts w:ascii="仿宋" w:eastAsia="仿宋_GB2312" w:hAnsi="仿宋" w:cs="仿宋" w:hint="eastAsia"/>
          <w:sz w:val="28"/>
          <w:szCs w:val="28"/>
        </w:rPr>
        <w:t>，该部分满分为</w:t>
      </w:r>
      <w:r>
        <w:rPr>
          <w:rFonts w:ascii="仿宋" w:eastAsia="仿宋_GB2312" w:hAnsi="仿宋" w:cs="仿宋" w:hint="eastAsia"/>
          <w:sz w:val="28"/>
          <w:szCs w:val="28"/>
        </w:rPr>
        <w:t>50</w:t>
      </w:r>
      <w:r>
        <w:rPr>
          <w:rFonts w:ascii="仿宋" w:eastAsia="仿宋_GB2312" w:hAnsi="仿宋" w:cs="仿宋" w:hint="eastAsia"/>
          <w:sz w:val="28"/>
          <w:szCs w:val="28"/>
        </w:rPr>
        <w:t>分，需根据同学课程测验完成的具体情</w:t>
      </w:r>
      <w:r w:rsidR="00186738">
        <w:rPr>
          <w:rFonts w:ascii="仿宋" w:eastAsia="仿宋_GB2312" w:hAnsi="仿宋" w:cs="仿宋" w:hint="eastAsia"/>
          <w:sz w:val="28"/>
          <w:szCs w:val="28"/>
        </w:rPr>
        <w:t>况获得该部分成绩；两部分成绩相加，即线上学习内容的考核</w:t>
      </w:r>
      <w:r>
        <w:rPr>
          <w:rFonts w:ascii="仿宋" w:eastAsia="仿宋_GB2312" w:hAnsi="仿宋" w:cs="仿宋" w:hint="eastAsia"/>
          <w:sz w:val="28"/>
          <w:szCs w:val="28"/>
        </w:rPr>
        <w:t>成绩。</w:t>
      </w:r>
    </w:p>
    <w:p w14:paraId="5DF432F0" w14:textId="77777777" w:rsidR="00186738" w:rsidRDefault="00186738" w:rsidP="00186738">
      <w:pPr>
        <w:ind w:firstLineChars="200" w:firstLine="560"/>
        <w:rPr>
          <w:rFonts w:ascii="仿宋" w:eastAsia="仿宋_GB2312" w:hAnsi="仿宋" w:cs="仿宋"/>
          <w:sz w:val="28"/>
          <w:szCs w:val="28"/>
        </w:rPr>
      </w:pPr>
      <w:r w:rsidRPr="000438E9">
        <w:rPr>
          <w:rFonts w:ascii="仿宋" w:eastAsia="仿宋_GB2312" w:hAnsi="仿宋" w:cs="仿宋" w:hint="eastAsia"/>
          <w:sz w:val="28"/>
          <w:szCs w:val="28"/>
        </w:rPr>
        <w:t>教学视频均为</w:t>
      </w:r>
      <w:r w:rsidRPr="000438E9">
        <w:rPr>
          <w:rFonts w:ascii="仿宋" w:eastAsia="仿宋_GB2312" w:hAnsi="仿宋" w:cs="仿宋" w:hint="eastAsia"/>
          <w:sz w:val="28"/>
          <w:szCs w:val="28"/>
        </w:rPr>
        <w:t>10</w:t>
      </w:r>
      <w:r w:rsidRPr="000438E9">
        <w:rPr>
          <w:rFonts w:ascii="仿宋" w:eastAsia="仿宋_GB2312" w:hAnsi="仿宋" w:cs="仿宋" w:hint="eastAsia"/>
          <w:sz w:val="28"/>
          <w:szCs w:val="28"/>
        </w:rPr>
        <w:t>分钟之内的慕课式知识点短视频，全部教学视频均防作弊防拖拽防窗口切换</w:t>
      </w:r>
      <w:r>
        <w:rPr>
          <w:rFonts w:ascii="仿宋" w:eastAsia="仿宋_GB2312" w:hAnsi="仿宋" w:cs="仿宋" w:hint="eastAsia"/>
          <w:sz w:val="28"/>
          <w:szCs w:val="28"/>
        </w:rPr>
        <w:t>，教学视频观看流程全监控；课程测验</w:t>
      </w:r>
      <w:r w:rsidRPr="000438E9">
        <w:rPr>
          <w:rFonts w:ascii="仿宋" w:eastAsia="仿宋_GB2312" w:hAnsi="仿宋" w:cs="仿宋" w:hint="eastAsia"/>
          <w:sz w:val="28"/>
          <w:szCs w:val="28"/>
        </w:rPr>
        <w:t>包括单选题、多选题、判断题和填空题共计</w:t>
      </w:r>
      <w:r w:rsidRPr="000438E9">
        <w:rPr>
          <w:rFonts w:ascii="仿宋" w:eastAsia="仿宋_GB2312" w:hAnsi="仿宋" w:cs="仿宋" w:hint="eastAsia"/>
          <w:sz w:val="28"/>
          <w:szCs w:val="28"/>
        </w:rPr>
        <w:t>4</w:t>
      </w:r>
      <w:r>
        <w:rPr>
          <w:rFonts w:ascii="仿宋" w:eastAsia="仿宋_GB2312" w:hAnsi="仿宋" w:cs="仿宋" w:hint="eastAsia"/>
          <w:sz w:val="28"/>
          <w:szCs w:val="28"/>
        </w:rPr>
        <w:t>种题型。</w:t>
      </w:r>
    </w:p>
    <w:p w14:paraId="7C5312B3" w14:textId="77777777" w:rsidR="00186738" w:rsidRPr="00186738" w:rsidRDefault="00186738" w:rsidP="00186738">
      <w:pPr>
        <w:ind w:firstLineChars="200" w:firstLine="560"/>
        <w:rPr>
          <w:rFonts w:ascii="仿宋" w:eastAsia="仿宋_GB2312" w:hAnsi="仿宋" w:cs="仿宋"/>
          <w:sz w:val="28"/>
          <w:szCs w:val="28"/>
        </w:rPr>
      </w:pPr>
      <w:r w:rsidRPr="000438E9">
        <w:rPr>
          <w:rFonts w:ascii="仿宋" w:eastAsia="仿宋_GB2312" w:hAnsi="仿宋" w:cs="仿宋" w:hint="eastAsia"/>
          <w:sz w:val="28"/>
          <w:szCs w:val="28"/>
        </w:rPr>
        <w:t>特别说明：</w:t>
      </w:r>
      <w:r w:rsidRPr="00186738">
        <w:rPr>
          <w:rFonts w:ascii="仿宋" w:eastAsia="仿宋_GB2312" w:hAnsi="仿宋" w:cs="仿宋" w:hint="eastAsia"/>
          <w:sz w:val="28"/>
          <w:szCs w:val="28"/>
        </w:rPr>
        <w:t>平台学习成绩占总评成绩的</w:t>
      </w:r>
      <w:r w:rsidRPr="00186738">
        <w:rPr>
          <w:rFonts w:ascii="仿宋" w:eastAsia="仿宋_GB2312" w:hAnsi="仿宋" w:cs="仿宋" w:hint="eastAsia"/>
          <w:sz w:val="28"/>
          <w:szCs w:val="28"/>
        </w:rPr>
        <w:t>50%</w:t>
      </w:r>
      <w:r w:rsidRPr="00186738">
        <w:rPr>
          <w:rFonts w:ascii="仿宋" w:eastAsia="仿宋_GB2312" w:hAnsi="仿宋" w:cs="仿宋" w:hint="eastAsia"/>
          <w:sz w:val="28"/>
          <w:szCs w:val="28"/>
        </w:rPr>
        <w:t>，另外</w:t>
      </w:r>
      <w:r w:rsidRPr="00186738">
        <w:rPr>
          <w:rFonts w:ascii="仿宋" w:eastAsia="仿宋_GB2312" w:hAnsi="仿宋" w:cs="仿宋" w:hint="eastAsia"/>
          <w:sz w:val="28"/>
          <w:szCs w:val="28"/>
        </w:rPr>
        <w:t>50%</w:t>
      </w:r>
      <w:r>
        <w:rPr>
          <w:rFonts w:ascii="仿宋" w:eastAsia="仿宋_GB2312" w:hAnsi="仿宋" w:cs="仿宋" w:hint="eastAsia"/>
          <w:sz w:val="28"/>
          <w:szCs w:val="28"/>
        </w:rPr>
        <w:t>根据学习报告撰写情况给分，两部分相加获得网络社会实践课</w:t>
      </w:r>
      <w:r w:rsidR="00013A42">
        <w:rPr>
          <w:rFonts w:ascii="仿宋" w:eastAsia="仿宋_GB2312" w:hAnsi="仿宋" w:cs="仿宋" w:hint="eastAsia"/>
          <w:sz w:val="28"/>
          <w:szCs w:val="28"/>
        </w:rPr>
        <w:t>程</w:t>
      </w:r>
      <w:r>
        <w:rPr>
          <w:rFonts w:ascii="仿宋" w:eastAsia="仿宋_GB2312" w:hAnsi="仿宋" w:cs="仿宋" w:hint="eastAsia"/>
          <w:sz w:val="28"/>
          <w:szCs w:val="28"/>
        </w:rPr>
        <w:t>的总评成绩</w:t>
      </w:r>
      <w:r w:rsidRPr="00186738">
        <w:rPr>
          <w:rFonts w:ascii="仿宋" w:eastAsia="仿宋_GB2312" w:hAnsi="仿宋" w:cs="仿宋" w:hint="eastAsia"/>
          <w:sz w:val="28"/>
          <w:szCs w:val="28"/>
        </w:rPr>
        <w:t>。</w:t>
      </w:r>
    </w:p>
    <w:p w14:paraId="1A01645A" w14:textId="77777777" w:rsidR="00D31B59" w:rsidRDefault="00F66745">
      <w:pPr>
        <w:numPr>
          <w:ilvl w:val="0"/>
          <w:numId w:val="1"/>
        </w:numPr>
        <w:rPr>
          <w:rFonts w:ascii="仿宋" w:eastAsia="仿宋_GB2312" w:hAnsi="仿宋" w:cs="仿宋"/>
          <w:b/>
          <w:bCs/>
          <w:sz w:val="32"/>
          <w:szCs w:val="32"/>
        </w:rPr>
      </w:pPr>
      <w:r>
        <w:rPr>
          <w:rFonts w:ascii="仿宋" w:eastAsia="仿宋_GB2312" w:hAnsi="仿宋" w:cs="仿宋" w:hint="eastAsia"/>
          <w:b/>
          <w:bCs/>
          <w:sz w:val="32"/>
          <w:szCs w:val="32"/>
        </w:rPr>
        <w:t>修读系统操作说明</w:t>
      </w:r>
    </w:p>
    <w:p w14:paraId="427385F8" w14:textId="77777777" w:rsidR="00D31B59" w:rsidRDefault="00F66745">
      <w:pPr>
        <w:numPr>
          <w:ilvl w:val="0"/>
          <w:numId w:val="2"/>
        </w:numPr>
        <w:rPr>
          <w:rFonts w:ascii="仿宋" w:eastAsia="仿宋_GB2312" w:hAnsi="仿宋" w:cs="仿宋"/>
          <w:sz w:val="28"/>
          <w:szCs w:val="28"/>
        </w:rPr>
      </w:pPr>
      <w:r>
        <w:rPr>
          <w:rFonts w:ascii="仿宋" w:eastAsia="仿宋_GB2312" w:hAnsi="仿宋" w:cs="仿宋" w:hint="eastAsia"/>
          <w:b/>
          <w:bCs/>
          <w:sz w:val="28"/>
          <w:szCs w:val="28"/>
        </w:rPr>
        <w:t>本修读系统支持电脑端与手机端两种修读模式，</w:t>
      </w:r>
      <w:r>
        <w:rPr>
          <w:rFonts w:ascii="仿宋" w:eastAsia="仿宋_GB2312" w:hAnsi="仿宋" w:cs="仿宋" w:hint="eastAsia"/>
          <w:sz w:val="28"/>
          <w:szCs w:val="28"/>
        </w:rPr>
        <w:t>同学们可根据需要，通过电脑端或手机端进行课程修读，两种修读模式的修读时间、修读课程、修读方式和考核方式均完全一致，修读进度和考核结果同步记录，并支持修读期间切换修读模式，不会影响修读进度和考核结果。</w:t>
      </w:r>
    </w:p>
    <w:p w14:paraId="64E75A8D" w14:textId="77777777" w:rsidR="00D31B59" w:rsidRDefault="00F66745">
      <w:pPr>
        <w:numPr>
          <w:ilvl w:val="0"/>
          <w:numId w:val="2"/>
        </w:numPr>
        <w:rPr>
          <w:rFonts w:ascii="仿宋" w:eastAsia="仿宋_GB2312" w:hAnsi="仿宋" w:cs="仿宋"/>
          <w:b/>
          <w:bCs/>
          <w:sz w:val="28"/>
          <w:szCs w:val="28"/>
        </w:rPr>
      </w:pPr>
      <w:r>
        <w:rPr>
          <w:rFonts w:ascii="仿宋" w:eastAsia="仿宋_GB2312" w:hAnsi="仿宋" w:cs="仿宋" w:hint="eastAsia"/>
          <w:b/>
          <w:bCs/>
          <w:sz w:val="28"/>
          <w:szCs w:val="28"/>
        </w:rPr>
        <w:t>电脑端修读模式操作说明：</w:t>
      </w:r>
    </w:p>
    <w:p w14:paraId="1A89BCCD" w14:textId="77777777" w:rsidR="00D31B59" w:rsidRDefault="00F66745">
      <w:r>
        <w:rPr>
          <w:rFonts w:ascii="仿宋" w:eastAsia="仿宋_GB2312" w:hAnsi="仿宋" w:cs="仿宋" w:hint="eastAsia"/>
          <w:b/>
          <w:bCs/>
          <w:sz w:val="28"/>
          <w:szCs w:val="28"/>
        </w:rPr>
        <w:t>（</w:t>
      </w:r>
      <w:r>
        <w:rPr>
          <w:rFonts w:ascii="仿宋" w:eastAsia="仿宋_GB2312" w:hAnsi="仿宋" w:cs="仿宋" w:hint="eastAsia"/>
          <w:b/>
          <w:bCs/>
          <w:sz w:val="28"/>
          <w:szCs w:val="28"/>
        </w:rPr>
        <w:t>1</w:t>
      </w:r>
      <w:r>
        <w:rPr>
          <w:rFonts w:ascii="仿宋" w:eastAsia="仿宋_GB2312" w:hAnsi="仿宋" w:cs="仿宋" w:hint="eastAsia"/>
          <w:b/>
          <w:bCs/>
          <w:sz w:val="28"/>
          <w:szCs w:val="28"/>
        </w:rPr>
        <w:t>）登录：</w:t>
      </w:r>
      <w:r>
        <w:rPr>
          <w:rFonts w:ascii="仿宋" w:eastAsia="仿宋_GB2312" w:hAnsi="仿宋" w:cs="仿宋" w:hint="eastAsia"/>
          <w:sz w:val="28"/>
          <w:szCs w:val="28"/>
        </w:rPr>
        <w:t>打开任意浏览器（推荐使用</w:t>
      </w:r>
      <w:r>
        <w:rPr>
          <w:rFonts w:ascii="仿宋" w:eastAsia="仿宋_GB2312" w:hAnsi="仿宋" w:cs="仿宋" w:hint="eastAsia"/>
          <w:sz w:val="28"/>
          <w:szCs w:val="28"/>
        </w:rPr>
        <w:t>Firefox</w:t>
      </w:r>
      <w:r>
        <w:rPr>
          <w:rFonts w:ascii="仿宋" w:eastAsia="仿宋_GB2312" w:hAnsi="仿宋" w:cs="仿宋" w:hint="eastAsia"/>
          <w:sz w:val="28"/>
          <w:szCs w:val="28"/>
        </w:rPr>
        <w:t>及</w:t>
      </w:r>
      <w:r>
        <w:rPr>
          <w:rFonts w:ascii="仿宋" w:eastAsia="仿宋_GB2312" w:hAnsi="仿宋" w:cs="仿宋" w:hint="eastAsia"/>
          <w:sz w:val="28"/>
          <w:szCs w:val="28"/>
        </w:rPr>
        <w:t>Google</w:t>
      </w:r>
      <w:r>
        <w:rPr>
          <w:rFonts w:ascii="仿宋" w:eastAsia="仿宋_GB2312" w:hAnsi="仿宋" w:cs="仿宋" w:hint="eastAsia"/>
          <w:sz w:val="28"/>
          <w:szCs w:val="28"/>
        </w:rPr>
        <w:t>浏览器），在地址栏输入</w:t>
      </w:r>
      <w:r>
        <w:rPr>
          <w:rFonts w:ascii="仿宋" w:eastAsia="仿宋_GB2312" w:hAnsi="仿宋" w:cs="仿宋" w:hint="eastAsia"/>
          <w:sz w:val="28"/>
          <w:szCs w:val="28"/>
        </w:rPr>
        <w:t>http://gdufsmy.fanya.chaoxing.com</w:t>
      </w:r>
      <w:r>
        <w:rPr>
          <w:rFonts w:ascii="仿宋" w:eastAsia="仿宋_GB2312" w:hAnsi="仿宋" w:cs="仿宋" w:hint="eastAsia"/>
          <w:sz w:val="28"/>
          <w:szCs w:val="28"/>
        </w:rPr>
        <w:t>，即可进入下图所示界面，</w:t>
      </w:r>
      <w:r>
        <w:rPr>
          <w:noProof/>
        </w:rPr>
        <w:lastRenderedPageBreak/>
        <w:drawing>
          <wp:inline distT="0" distB="0" distL="0" distR="0" wp14:anchorId="1815AE14" wp14:editId="12C3F28F">
            <wp:extent cx="5274310" cy="2776220"/>
            <wp:effectExtent l="19050" t="19050" r="2159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2776220"/>
                    </a:xfrm>
                    <a:prstGeom prst="rect">
                      <a:avLst/>
                    </a:prstGeom>
                    <a:ln w="19050">
                      <a:solidFill>
                        <a:schemeClr val="bg1">
                          <a:lumMod val="75000"/>
                        </a:schemeClr>
                      </a:solidFill>
                    </a:ln>
                  </pic:spPr>
                </pic:pic>
              </a:graphicData>
            </a:graphic>
          </wp:inline>
        </w:drawing>
      </w:r>
    </w:p>
    <w:p w14:paraId="311CB554"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点击右上角“登录”按钮，即可跳转至下图所示登录页面，</w:t>
      </w:r>
    </w:p>
    <w:p w14:paraId="35651B7A" w14:textId="77777777" w:rsidR="00D31B59" w:rsidRDefault="00F66745">
      <w:r>
        <w:rPr>
          <w:noProof/>
        </w:rPr>
        <w:drawing>
          <wp:inline distT="0" distB="0" distL="0" distR="0" wp14:anchorId="023D21C2" wp14:editId="7E44BFBA">
            <wp:extent cx="5274310" cy="1885950"/>
            <wp:effectExtent l="19050" t="19050" r="21590" b="190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 cstate="print"/>
                    <a:srcRect t="7072" b="10566"/>
                    <a:stretch>
                      <a:fillRect/>
                    </a:stretch>
                  </pic:blipFill>
                  <pic:spPr>
                    <a:xfrm>
                      <a:off x="0" y="0"/>
                      <a:ext cx="5274310" cy="1885950"/>
                    </a:xfrm>
                    <a:prstGeom prst="rect">
                      <a:avLst/>
                    </a:prstGeom>
                    <a:ln w="19050" cap="flat" cmpd="sng" algn="ctr">
                      <a:solidFill>
                        <a:sysClr val="window" lastClr="FFFFFF">
                          <a:lumMod val="75000"/>
                        </a:sysClr>
                      </a:solidFill>
                      <a:prstDash val="solid"/>
                      <a:round/>
                      <a:headEnd type="none" w="med" len="med"/>
                      <a:tailEnd type="none" w="med" len="med"/>
                    </a:ln>
                  </pic:spPr>
                </pic:pic>
              </a:graphicData>
            </a:graphic>
          </wp:inline>
        </w:drawing>
      </w:r>
    </w:p>
    <w:p w14:paraId="02DBE77F" w14:textId="77777777" w:rsidR="00D31B59" w:rsidRDefault="00D31B59"/>
    <w:p w14:paraId="494CB440"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登录页面左侧即为电脑端修读模式登录区域，登录页面右侧的二维码为手机端下载页面，可通过扫一扫二维码下载手机端“超星学习通”</w:t>
      </w:r>
      <w:r>
        <w:rPr>
          <w:rFonts w:ascii="仿宋" w:eastAsia="仿宋_GB2312" w:hAnsi="仿宋" w:cs="仿宋" w:hint="eastAsia"/>
          <w:sz w:val="28"/>
          <w:szCs w:val="28"/>
        </w:rPr>
        <w:t>APP</w:t>
      </w:r>
      <w:r>
        <w:rPr>
          <w:rFonts w:ascii="仿宋" w:eastAsia="仿宋_GB2312" w:hAnsi="仿宋" w:cs="仿宋" w:hint="eastAsia"/>
          <w:sz w:val="28"/>
          <w:szCs w:val="28"/>
        </w:rPr>
        <w:t>，开通手机端修读模式。</w:t>
      </w:r>
    </w:p>
    <w:p w14:paraId="1EABCF2D"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初次登录时登录名均为学号，初始密码为123456，登录后跳转至修改初始密码，设置个人密码（若已经在手机端使用</w:t>
      </w:r>
      <w:r>
        <w:rPr>
          <w:rFonts w:ascii="仿宋" w:eastAsia="仿宋_GB2312" w:hAnsi="仿宋" w:cs="仿宋" w:hint="eastAsia"/>
          <w:sz w:val="28"/>
          <w:szCs w:val="28"/>
        </w:rPr>
        <w:t>“超星学习通”</w:t>
      </w:r>
      <w:r>
        <w:rPr>
          <w:rFonts w:ascii="仿宋" w:eastAsia="仿宋_GB2312" w:hAnsi="仿宋" w:cs="仿宋" w:hint="eastAsia"/>
          <w:sz w:val="28"/>
          <w:szCs w:val="28"/>
        </w:rPr>
        <w:t>APP</w:t>
      </w:r>
      <w:r>
        <w:rPr>
          <w:rFonts w:ascii="仿宋_GB2312" w:eastAsia="仿宋_GB2312" w:hint="eastAsia"/>
          <w:sz w:val="28"/>
          <w:szCs w:val="28"/>
        </w:rPr>
        <w:t>登录过该账号，则这一步骤将在手机端完成，电脑端即可直接使用手机端的账号密码登录即可）如下图所示，</w:t>
      </w:r>
    </w:p>
    <w:p w14:paraId="4037A63F" w14:textId="77777777" w:rsidR="00D31B59" w:rsidRDefault="00F66745">
      <w:pPr>
        <w:ind w:firstLineChars="200" w:firstLine="420"/>
      </w:pPr>
      <w:r>
        <w:rPr>
          <w:noProof/>
        </w:rPr>
        <w:lastRenderedPageBreak/>
        <w:drawing>
          <wp:inline distT="0" distB="0" distL="0" distR="0" wp14:anchorId="2E7C41E1" wp14:editId="6FF81027">
            <wp:extent cx="5274310" cy="1828800"/>
            <wp:effectExtent l="19050" t="19050" r="2159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srcRect t="6635" b="8434"/>
                    <a:stretch>
                      <a:fillRect/>
                    </a:stretch>
                  </pic:blipFill>
                  <pic:spPr>
                    <a:xfrm>
                      <a:off x="0" y="0"/>
                      <a:ext cx="5274310" cy="1828800"/>
                    </a:xfrm>
                    <a:prstGeom prst="rect">
                      <a:avLst/>
                    </a:prstGeom>
                    <a:ln w="19050" cap="flat" cmpd="sng" algn="ctr">
                      <a:solidFill>
                        <a:sysClr val="window" lastClr="FFFFFF">
                          <a:lumMod val="75000"/>
                        </a:sysClr>
                      </a:solidFill>
                      <a:prstDash val="solid"/>
                      <a:round/>
                      <a:headEnd type="none" w="med" len="med"/>
                      <a:tailEnd type="none" w="med" len="med"/>
                    </a:ln>
                  </pic:spPr>
                </pic:pic>
              </a:graphicData>
            </a:graphic>
          </wp:inline>
        </w:drawing>
      </w:r>
    </w:p>
    <w:p w14:paraId="31F1A1DE" w14:textId="77777777" w:rsidR="00D31B59" w:rsidRDefault="00D31B59">
      <w:pPr>
        <w:ind w:firstLineChars="200" w:firstLine="420"/>
      </w:pPr>
    </w:p>
    <w:p w14:paraId="1DDB9978"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修改密码后跳转回登录界面，使用学号和修改后的个人密码重新登录，如下图所示，</w:t>
      </w:r>
    </w:p>
    <w:p w14:paraId="0C9B3F94" w14:textId="77777777" w:rsidR="00D31B59" w:rsidRDefault="00F66745">
      <w:pPr>
        <w:ind w:firstLineChars="200" w:firstLine="420"/>
      </w:pPr>
      <w:r>
        <w:rPr>
          <w:noProof/>
        </w:rPr>
        <w:drawing>
          <wp:inline distT="0" distB="0" distL="0" distR="0" wp14:anchorId="1A90A9F2" wp14:editId="3AD47378">
            <wp:extent cx="5274310" cy="2380615"/>
            <wp:effectExtent l="19050" t="19050" r="2159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stretch>
                      <a:fillRect/>
                    </a:stretch>
                  </pic:blipFill>
                  <pic:spPr>
                    <a:xfrm>
                      <a:off x="0" y="0"/>
                      <a:ext cx="5274310" cy="2380615"/>
                    </a:xfrm>
                    <a:prstGeom prst="rect">
                      <a:avLst/>
                    </a:prstGeom>
                    <a:ln w="19050" cap="flat" cmpd="sng" algn="ctr">
                      <a:solidFill>
                        <a:sysClr val="window" lastClr="FFFFFF">
                          <a:lumMod val="75000"/>
                        </a:sysClr>
                      </a:solidFill>
                      <a:prstDash val="solid"/>
                      <a:round/>
                      <a:headEnd type="none" w="med" len="med"/>
                      <a:tailEnd type="none" w="med" len="med"/>
                    </a:ln>
                  </pic:spPr>
                </pic:pic>
              </a:graphicData>
            </a:graphic>
          </wp:inline>
        </w:drawing>
      </w:r>
    </w:p>
    <w:p w14:paraId="3AE2BFF9" w14:textId="77777777" w:rsidR="00D31B59" w:rsidRDefault="00D31B59">
      <w:pPr>
        <w:ind w:firstLineChars="200" w:firstLine="420"/>
      </w:pPr>
    </w:p>
    <w:p w14:paraId="27EB7792" w14:textId="77777777" w:rsidR="00D31B59" w:rsidRDefault="00F66745">
      <w:pPr>
        <w:ind w:firstLine="560"/>
        <w:rPr>
          <w:rFonts w:ascii="仿宋" w:eastAsia="仿宋_GB2312" w:hAnsi="仿宋" w:cs="仿宋"/>
          <w:sz w:val="28"/>
          <w:szCs w:val="28"/>
        </w:rPr>
      </w:pPr>
      <w:r>
        <w:rPr>
          <w:rFonts w:ascii="仿宋" w:eastAsia="仿宋_GB2312" w:hAnsi="仿宋" w:cs="仿宋" w:hint="eastAsia"/>
          <w:sz w:val="28"/>
          <w:szCs w:val="28"/>
        </w:rPr>
        <w:t>登录完成后，即可进入修读空间，</w:t>
      </w:r>
    </w:p>
    <w:p w14:paraId="0F56D3CA" w14:textId="77777777" w:rsidR="00D31B59" w:rsidRDefault="00F66745">
      <w:pPr>
        <w:ind w:firstLine="560"/>
      </w:pPr>
      <w:r>
        <w:rPr>
          <w:noProof/>
        </w:rPr>
        <w:lastRenderedPageBreak/>
        <w:drawing>
          <wp:inline distT="0" distB="0" distL="0" distR="0" wp14:anchorId="035E922C" wp14:editId="5E1A51B6">
            <wp:extent cx="5274310" cy="2709545"/>
            <wp:effectExtent l="19050" t="19050" r="21590" b="336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tretch>
                      <a:fillRect/>
                    </a:stretch>
                  </pic:blipFill>
                  <pic:spPr>
                    <a:xfrm>
                      <a:off x="0" y="0"/>
                      <a:ext cx="5274310" cy="2709545"/>
                    </a:xfrm>
                    <a:prstGeom prst="rect">
                      <a:avLst/>
                    </a:prstGeom>
                    <a:ln w="19050" cap="flat" cmpd="sng" algn="ctr">
                      <a:solidFill>
                        <a:sysClr val="window" lastClr="FFFFFF">
                          <a:lumMod val="75000"/>
                        </a:sysClr>
                      </a:solidFill>
                      <a:prstDash val="solid"/>
                      <a:round/>
                      <a:headEnd type="none" w="med" len="med"/>
                      <a:tailEnd type="none" w="med" len="med"/>
                    </a:ln>
                  </pic:spPr>
                </pic:pic>
              </a:graphicData>
            </a:graphic>
          </wp:inline>
        </w:drawing>
      </w:r>
    </w:p>
    <w:p w14:paraId="1107A542" w14:textId="77777777" w:rsidR="00D31B59" w:rsidRDefault="00D31B59">
      <w:pPr>
        <w:ind w:firstLine="560"/>
      </w:pPr>
    </w:p>
    <w:p w14:paraId="6D5B8348" w14:textId="77777777" w:rsidR="00D31B59" w:rsidRDefault="00F66745">
      <w:pPr>
        <w:ind w:firstLine="560"/>
        <w:rPr>
          <w:rFonts w:ascii="仿宋" w:eastAsia="仿宋_GB2312" w:hAnsi="仿宋" w:cs="仿宋"/>
          <w:sz w:val="28"/>
          <w:szCs w:val="28"/>
        </w:rPr>
      </w:pPr>
      <w:r>
        <w:rPr>
          <w:rFonts w:ascii="仿宋" w:eastAsia="仿宋_GB2312" w:hAnsi="仿宋" w:cs="仿宋" w:hint="eastAsia"/>
          <w:sz w:val="28"/>
          <w:szCs w:val="28"/>
        </w:rPr>
        <w:t>进入修读空间后，点击左上角“账号管理”按钮，进入账号管理页面，可自行绑定邮箱及手机号，</w:t>
      </w:r>
      <w:r>
        <w:rPr>
          <w:rFonts w:ascii="仿宋" w:eastAsia="仿宋_GB2312" w:hAnsi="仿宋" w:cs="仿宋" w:hint="eastAsia"/>
          <w:noProof/>
          <w:sz w:val="28"/>
          <w:szCs w:val="28"/>
        </w:rPr>
        <w:drawing>
          <wp:inline distT="0" distB="0" distL="114300" distR="114300" wp14:anchorId="32BDA802" wp14:editId="30E315FE">
            <wp:extent cx="5272405" cy="1750060"/>
            <wp:effectExtent l="0" t="0" r="4445" b="2540"/>
            <wp:docPr id="2" name="图片 2" descr="155498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4981419(1)"/>
                    <pic:cNvPicPr>
                      <a:picLocks noChangeAspect="1"/>
                    </pic:cNvPicPr>
                  </pic:nvPicPr>
                  <pic:blipFill>
                    <a:blip r:embed="rId13" cstate="print"/>
                    <a:stretch>
                      <a:fillRect/>
                    </a:stretch>
                  </pic:blipFill>
                  <pic:spPr>
                    <a:xfrm>
                      <a:off x="0" y="0"/>
                      <a:ext cx="5272405" cy="1750060"/>
                    </a:xfrm>
                    <a:prstGeom prst="rect">
                      <a:avLst/>
                    </a:prstGeom>
                  </pic:spPr>
                </pic:pic>
              </a:graphicData>
            </a:graphic>
          </wp:inline>
        </w:drawing>
      </w:r>
    </w:p>
    <w:p w14:paraId="6AC844BC" w14:textId="77777777" w:rsidR="00D31B59" w:rsidRDefault="00F66745">
      <w:pPr>
        <w:ind w:firstLineChars="200" w:firstLine="560"/>
        <w:rPr>
          <w:rFonts w:ascii="仿宋_GB2312" w:eastAsia="仿宋_GB2312"/>
          <w:sz w:val="28"/>
          <w:szCs w:val="28"/>
        </w:rPr>
      </w:pPr>
      <w:r>
        <w:rPr>
          <w:rFonts w:ascii="仿宋" w:eastAsia="仿宋_GB2312" w:hAnsi="仿宋" w:cs="仿宋" w:hint="eastAsia"/>
          <w:sz w:val="28"/>
          <w:szCs w:val="28"/>
        </w:rPr>
        <w:t>绑定完成后，</w:t>
      </w:r>
      <w:r>
        <w:rPr>
          <w:rFonts w:ascii="仿宋_GB2312" w:eastAsia="仿宋_GB2312" w:hint="eastAsia"/>
          <w:sz w:val="28"/>
          <w:szCs w:val="28"/>
        </w:rPr>
        <w:t>再次登录账号可以直接输入手机号及密码登录。</w:t>
      </w:r>
    </w:p>
    <w:p w14:paraId="2001C993" w14:textId="77777777" w:rsidR="00D31B59" w:rsidRDefault="00F66745">
      <w:pPr>
        <w:numPr>
          <w:ilvl w:val="0"/>
          <w:numId w:val="3"/>
        </w:numPr>
        <w:rPr>
          <w:rFonts w:ascii="仿宋_GB2312" w:eastAsia="仿宋_GB2312"/>
          <w:b/>
          <w:bCs/>
          <w:sz w:val="28"/>
          <w:szCs w:val="28"/>
        </w:rPr>
      </w:pPr>
      <w:r>
        <w:rPr>
          <w:rFonts w:ascii="仿宋_GB2312" w:eastAsia="仿宋_GB2312" w:hint="eastAsia"/>
          <w:b/>
          <w:bCs/>
          <w:sz w:val="28"/>
          <w:szCs w:val="28"/>
        </w:rPr>
        <w:t>课程修读</w:t>
      </w:r>
    </w:p>
    <w:p w14:paraId="7F9EC7D1" w14:textId="743A62E0" w:rsidR="00D31B59" w:rsidRDefault="00F66745">
      <w:pPr>
        <w:ind w:firstLineChars="200" w:firstLine="560"/>
        <w:rPr>
          <w:rFonts w:ascii="仿宋_GB2312" w:eastAsia="仿宋_GB2312"/>
          <w:sz w:val="28"/>
          <w:szCs w:val="28"/>
        </w:rPr>
      </w:pPr>
      <w:r>
        <w:rPr>
          <w:rFonts w:ascii="仿宋_GB2312" w:eastAsia="仿宋_GB2312" w:hint="eastAsia"/>
          <w:sz w:val="28"/>
          <w:szCs w:val="28"/>
        </w:rPr>
        <w:t>进入修读空间后，空间中会展示规定修读时间内需要全部修读完成的</w:t>
      </w:r>
      <w:r w:rsidR="00E5610B">
        <w:rPr>
          <w:rFonts w:ascii="仿宋_GB2312" w:eastAsia="仿宋_GB2312"/>
          <w:sz w:val="28"/>
          <w:szCs w:val="28"/>
        </w:rPr>
        <w:t>5</w:t>
      </w:r>
      <w:r>
        <w:rPr>
          <w:rFonts w:ascii="仿宋_GB2312" w:eastAsia="仿宋_GB2312" w:hint="eastAsia"/>
          <w:sz w:val="28"/>
          <w:szCs w:val="28"/>
        </w:rPr>
        <w:t>门课程，具体课程为，</w:t>
      </w:r>
    </w:p>
    <w:p w14:paraId="09649EB5" w14:textId="77777777" w:rsidR="00D31B59" w:rsidRDefault="00F66745">
      <w:pPr>
        <w:ind w:firstLineChars="200" w:firstLine="560"/>
        <w:rPr>
          <w:rFonts w:ascii="仿宋_GB2312" w:eastAsia="仿宋_GB2312"/>
          <w:sz w:val="28"/>
          <w:szCs w:val="28"/>
        </w:rPr>
      </w:pPr>
      <w:r>
        <w:rPr>
          <w:rFonts w:ascii="仿宋_GB2312" w:eastAsia="仿宋_GB2312"/>
          <w:noProof/>
          <w:sz w:val="28"/>
          <w:szCs w:val="28"/>
        </w:rPr>
        <w:lastRenderedPageBreak/>
        <w:drawing>
          <wp:inline distT="0" distB="0" distL="114300" distR="114300" wp14:anchorId="12CF6CC5" wp14:editId="3A8C7D96">
            <wp:extent cx="5270500" cy="3386455"/>
            <wp:effectExtent l="0" t="0" r="6350" b="4445"/>
            <wp:docPr id="4" name="图片 4" descr="155498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4983214(1)"/>
                    <pic:cNvPicPr>
                      <a:picLocks noChangeAspect="1"/>
                    </pic:cNvPicPr>
                  </pic:nvPicPr>
                  <pic:blipFill>
                    <a:blip r:embed="rId14" cstate="print"/>
                    <a:stretch>
                      <a:fillRect/>
                    </a:stretch>
                  </pic:blipFill>
                  <pic:spPr>
                    <a:xfrm>
                      <a:off x="0" y="0"/>
                      <a:ext cx="5270500" cy="3386455"/>
                    </a:xfrm>
                    <a:prstGeom prst="rect">
                      <a:avLst/>
                    </a:prstGeom>
                  </pic:spPr>
                </pic:pic>
              </a:graphicData>
            </a:graphic>
          </wp:inline>
        </w:drawing>
      </w:r>
    </w:p>
    <w:p w14:paraId="742929F1" w14:textId="06CBB910" w:rsidR="00D31B59" w:rsidRDefault="00E5610B">
      <w:pPr>
        <w:ind w:firstLineChars="200" w:firstLine="560"/>
        <w:rPr>
          <w:rFonts w:ascii="仿宋_GB2312" w:eastAsia="仿宋_GB2312"/>
          <w:sz w:val="28"/>
          <w:szCs w:val="28"/>
        </w:rPr>
      </w:pPr>
      <w:r>
        <w:rPr>
          <w:rFonts w:ascii="仿宋_GB2312" w:eastAsia="仿宋_GB2312"/>
          <w:sz w:val="28"/>
          <w:szCs w:val="28"/>
        </w:rPr>
        <w:t>5</w:t>
      </w:r>
      <w:r w:rsidR="00F66745">
        <w:rPr>
          <w:rFonts w:ascii="仿宋_GB2312" w:eastAsia="仿宋_GB2312" w:hint="eastAsia"/>
          <w:sz w:val="28"/>
          <w:szCs w:val="28"/>
        </w:rPr>
        <w:t>门课程均采取闯关式修读流程，均包含课程视频和课程测验两部分考核内容，同学们可自行选择课程修读顺序，在规定修读时间内修读完成全部</w:t>
      </w:r>
      <w:r>
        <w:rPr>
          <w:rFonts w:ascii="仿宋_GB2312" w:eastAsia="仿宋_GB2312"/>
          <w:sz w:val="28"/>
          <w:szCs w:val="28"/>
        </w:rPr>
        <w:t>5</w:t>
      </w:r>
      <w:r w:rsidR="00F66745">
        <w:rPr>
          <w:rFonts w:ascii="仿宋_GB2312" w:eastAsia="仿宋_GB2312" w:hint="eastAsia"/>
          <w:sz w:val="28"/>
          <w:szCs w:val="28"/>
        </w:rPr>
        <w:t>门课程即可。</w:t>
      </w:r>
    </w:p>
    <w:p w14:paraId="6A3AF87C"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下面，以《红色文化之井冈山革命旧址》可为例：</w:t>
      </w:r>
    </w:p>
    <w:p w14:paraId="735BA9A6"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点击《红色文化之井冈山革命旧址》，即可进入课程修读页面，首先会收到本门课程的修读通知，</w:t>
      </w:r>
    </w:p>
    <w:p w14:paraId="1E884822" w14:textId="77777777" w:rsidR="00D31B59" w:rsidRDefault="00F66745">
      <w:pPr>
        <w:ind w:firstLineChars="200" w:firstLine="560"/>
        <w:rPr>
          <w:rFonts w:ascii="仿宋_GB2312" w:eastAsia="仿宋_GB2312"/>
          <w:sz w:val="28"/>
          <w:szCs w:val="28"/>
        </w:rPr>
      </w:pPr>
      <w:r>
        <w:rPr>
          <w:rFonts w:ascii="仿宋_GB2312" w:eastAsia="仿宋_GB2312"/>
          <w:noProof/>
          <w:sz w:val="28"/>
          <w:szCs w:val="28"/>
        </w:rPr>
        <w:drawing>
          <wp:inline distT="0" distB="0" distL="114300" distR="114300" wp14:anchorId="3ABAA9ED" wp14:editId="2615B90C">
            <wp:extent cx="5263515" cy="2591435"/>
            <wp:effectExtent l="0" t="0" r="13335" b="18415"/>
            <wp:docPr id="5" name="图片 5" descr="155498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54983260(1)"/>
                    <pic:cNvPicPr>
                      <a:picLocks noChangeAspect="1"/>
                    </pic:cNvPicPr>
                  </pic:nvPicPr>
                  <pic:blipFill>
                    <a:blip r:embed="rId15" cstate="print"/>
                    <a:stretch>
                      <a:fillRect/>
                    </a:stretch>
                  </pic:blipFill>
                  <pic:spPr>
                    <a:xfrm>
                      <a:off x="0" y="0"/>
                      <a:ext cx="5263515" cy="2591435"/>
                    </a:xfrm>
                    <a:prstGeom prst="rect">
                      <a:avLst/>
                    </a:prstGeom>
                  </pic:spPr>
                </pic:pic>
              </a:graphicData>
            </a:graphic>
          </wp:inline>
        </w:drawing>
      </w:r>
    </w:p>
    <w:p w14:paraId="6D43F985"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lastRenderedPageBreak/>
        <w:t>同学们在阅读修读通知及下载通知附件后，即可正式进入课程修读流程，本门课程需修读的课程章节如图所示，</w:t>
      </w:r>
    </w:p>
    <w:p w14:paraId="63C853DB"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2A68D3EF" wp14:editId="129731BF">
            <wp:extent cx="5264150" cy="2632075"/>
            <wp:effectExtent l="0" t="0" r="12700" b="15875"/>
            <wp:docPr id="9" name="图片 9" descr="1554983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54983417(1)"/>
                    <pic:cNvPicPr>
                      <a:picLocks noChangeAspect="1"/>
                    </pic:cNvPicPr>
                  </pic:nvPicPr>
                  <pic:blipFill>
                    <a:blip r:embed="rId16" cstate="print"/>
                    <a:stretch>
                      <a:fillRect/>
                    </a:stretch>
                  </pic:blipFill>
                  <pic:spPr>
                    <a:xfrm>
                      <a:off x="0" y="0"/>
                      <a:ext cx="5264150" cy="2632075"/>
                    </a:xfrm>
                    <a:prstGeom prst="rect">
                      <a:avLst/>
                    </a:prstGeom>
                  </pic:spPr>
                </pic:pic>
              </a:graphicData>
            </a:graphic>
          </wp:inline>
        </w:drawing>
      </w:r>
    </w:p>
    <w:p w14:paraId="1745F22C"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页面左侧为全部课程章节，页面右侧为讨论区，可在讨论区发表互动话题，与其他同学进行交流互动。</w:t>
      </w:r>
    </w:p>
    <w:p w14:paraId="71682DE4"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全部课程章节均采用闯关式修读流程，每一章节包含不同任务点数（任务点数由需观看的课程视频和需完成的课程测验组成），完成该章对应任务点数后方可解锁下一章节，每一章节待完成点数会在页面提示显示（黄色圆圈内数字），如下图所示，</w:t>
      </w:r>
    </w:p>
    <w:p w14:paraId="44B56E9A"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4D5C2F86" wp14:editId="6497F7ED">
            <wp:extent cx="5267960" cy="3719830"/>
            <wp:effectExtent l="0" t="0" r="8890" b="13970"/>
            <wp:docPr id="10" name="图片 10" descr="1554983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54983654(1)"/>
                    <pic:cNvPicPr>
                      <a:picLocks noChangeAspect="1"/>
                    </pic:cNvPicPr>
                  </pic:nvPicPr>
                  <pic:blipFill>
                    <a:blip r:embed="rId17" cstate="print"/>
                    <a:stretch>
                      <a:fillRect/>
                    </a:stretch>
                  </pic:blipFill>
                  <pic:spPr>
                    <a:xfrm>
                      <a:off x="0" y="0"/>
                      <a:ext cx="5267960" cy="3719830"/>
                    </a:xfrm>
                    <a:prstGeom prst="rect">
                      <a:avLst/>
                    </a:prstGeom>
                  </pic:spPr>
                </pic:pic>
              </a:graphicData>
            </a:graphic>
          </wp:inline>
        </w:drawing>
      </w:r>
    </w:p>
    <w:p w14:paraId="7F60DDA3" w14:textId="77777777" w:rsidR="00D31B59" w:rsidRDefault="00D31B59">
      <w:pPr>
        <w:ind w:firstLineChars="200" w:firstLine="560"/>
        <w:rPr>
          <w:rFonts w:ascii="仿宋_GB2312" w:eastAsia="仿宋_GB2312"/>
          <w:sz w:val="28"/>
          <w:szCs w:val="28"/>
        </w:rPr>
      </w:pPr>
    </w:p>
    <w:p w14:paraId="4223B24C"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点击进入待完成任务点数的章节，完成案例视频的完整观看（观看视频过程中不可切换窗口，不可拖拽进度条）后即可消除一任务点数；同样章节内置了选择、判断和填空三种类型的测验题目，题目依照同章节案例视频设置，完成题目后同样可以消除对应任务点数。</w:t>
      </w:r>
    </w:p>
    <w:p w14:paraId="6E7BDFA7"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以学习1.1“八角楼毛泽东同事旧居”章节为例，点击进入课程视频观看页面，如下图所示，</w:t>
      </w:r>
    </w:p>
    <w:p w14:paraId="214005E7"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350F2D8B" wp14:editId="2252FD4C">
            <wp:extent cx="5267960" cy="3592830"/>
            <wp:effectExtent l="0" t="0" r="8890" b="7620"/>
            <wp:docPr id="11" name="图片 11" descr="火狐截图_2019-04-11T11-56-29.40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火狐截图_2019-04-11T11-56-29.402Z"/>
                    <pic:cNvPicPr>
                      <a:picLocks noChangeAspect="1"/>
                    </pic:cNvPicPr>
                  </pic:nvPicPr>
                  <pic:blipFill>
                    <a:blip r:embed="rId18" cstate="print"/>
                    <a:stretch>
                      <a:fillRect/>
                    </a:stretch>
                  </pic:blipFill>
                  <pic:spPr>
                    <a:xfrm>
                      <a:off x="0" y="0"/>
                      <a:ext cx="5267960" cy="3592830"/>
                    </a:xfrm>
                    <a:prstGeom prst="rect">
                      <a:avLst/>
                    </a:prstGeom>
                  </pic:spPr>
                </pic:pic>
              </a:graphicData>
            </a:graphic>
          </wp:inline>
        </w:drawing>
      </w:r>
    </w:p>
    <w:p w14:paraId="302F28B0"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观看完成本章节课程视频，期间鼠标不可移出视频画面，不可切换窗口，否则均会导致视频暂停，影响学习进度。</w:t>
      </w:r>
    </w:p>
    <w:p w14:paraId="1C38C381"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观看完成本章节课程视频后，则会实时显示课程视频任务点已完成并调整为绿色，并自动减少待完成任务点数量，如下图所示，</w:t>
      </w:r>
    </w:p>
    <w:p w14:paraId="48B0DDFD"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64CC113E" wp14:editId="03BE600D">
            <wp:extent cx="5262880" cy="2220595"/>
            <wp:effectExtent l="0" t="0" r="13970" b="8255"/>
            <wp:docPr id="12" name="图片 12" descr="155498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54984153(1)"/>
                    <pic:cNvPicPr>
                      <a:picLocks noChangeAspect="1"/>
                    </pic:cNvPicPr>
                  </pic:nvPicPr>
                  <pic:blipFill>
                    <a:blip r:embed="rId19" cstate="print"/>
                    <a:stretch>
                      <a:fillRect/>
                    </a:stretch>
                  </pic:blipFill>
                  <pic:spPr>
                    <a:xfrm>
                      <a:off x="0" y="0"/>
                      <a:ext cx="5262880" cy="2220595"/>
                    </a:xfrm>
                    <a:prstGeom prst="rect">
                      <a:avLst/>
                    </a:prstGeom>
                  </pic:spPr>
                </pic:pic>
              </a:graphicData>
            </a:graphic>
          </wp:inline>
        </w:drawing>
      </w:r>
    </w:p>
    <w:p w14:paraId="4441209B"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每个章节的课程视频案例文本仅供参考学习，不作为任务点设置，同学们可自行选择点击查看。</w:t>
      </w:r>
    </w:p>
    <w:p w14:paraId="118CB127"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每个章节的课程视频观看完成后，均需要完成指定的课程测验，</w:t>
      </w:r>
      <w:r>
        <w:rPr>
          <w:rFonts w:ascii="仿宋_GB2312" w:eastAsia="仿宋_GB2312" w:hint="eastAsia"/>
          <w:sz w:val="28"/>
          <w:szCs w:val="28"/>
        </w:rPr>
        <w:lastRenderedPageBreak/>
        <w:t>课程测验的题型由单选题、多选题、填空题和判断题四种题型组合，根据每个章节课程视频内容的不同，会有匹配不同的测验题型和试题数量，如下图所示，</w:t>
      </w:r>
    </w:p>
    <w:p w14:paraId="5D74ECA6"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3977951C" wp14:editId="3BA02A77">
            <wp:extent cx="5269865" cy="1450975"/>
            <wp:effectExtent l="0" t="0" r="6985" b="15875"/>
            <wp:docPr id="13" name="图片 13" descr="155498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4985090(1)"/>
                    <pic:cNvPicPr>
                      <a:picLocks noChangeAspect="1"/>
                    </pic:cNvPicPr>
                  </pic:nvPicPr>
                  <pic:blipFill>
                    <a:blip r:embed="rId20" cstate="print"/>
                    <a:stretch>
                      <a:fillRect/>
                    </a:stretch>
                  </pic:blipFill>
                  <pic:spPr>
                    <a:xfrm>
                      <a:off x="0" y="0"/>
                      <a:ext cx="5269865" cy="1450975"/>
                    </a:xfrm>
                    <a:prstGeom prst="rect">
                      <a:avLst/>
                    </a:prstGeom>
                  </pic:spPr>
                </pic:pic>
              </a:graphicData>
            </a:graphic>
          </wp:inline>
        </w:drawing>
      </w:r>
    </w:p>
    <w:p w14:paraId="69A78115" w14:textId="77777777" w:rsidR="00D31B59" w:rsidRDefault="00D31B59">
      <w:pPr>
        <w:ind w:firstLineChars="200" w:firstLine="560"/>
        <w:rPr>
          <w:rFonts w:ascii="仿宋_GB2312" w:eastAsia="仿宋_GB2312"/>
          <w:sz w:val="28"/>
          <w:szCs w:val="28"/>
        </w:rPr>
      </w:pPr>
    </w:p>
    <w:p w14:paraId="5A0FE83B"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1.1“八角楼毛泽东同事旧居”章节的课程测验即包括单选题、多选题和填空题3种题型，逐个题型完成相应的试题后，如不确定答案，则可选择“暂时保存”，后续进行确认后再“提交作业”；如果选择直接“提交作业”，则无法修改已提交答案。</w:t>
      </w:r>
    </w:p>
    <w:p w14:paraId="2F4D04F6"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答案提交后，可实时查看答题结果；如有未提交作业的题型，则无法完成任务点，因此需全部提交本章节课程测验。</w:t>
      </w:r>
    </w:p>
    <w:p w14:paraId="38C42FED"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全部试题均提交完成后，则完成本章节任务点的全部学习，黄圈中数字消失变为绿色实心圈，即可解锁下一章节的学习，下一章节任务点数量显示为黄圈数字，如下图所示，</w:t>
      </w:r>
    </w:p>
    <w:p w14:paraId="596F79C7"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0A89E22A" wp14:editId="66B60AF2">
            <wp:extent cx="5262880" cy="2382520"/>
            <wp:effectExtent l="0" t="0" r="13970" b="17780"/>
            <wp:docPr id="14" name="图片 14" descr="1554985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54985665(1)"/>
                    <pic:cNvPicPr>
                      <a:picLocks noChangeAspect="1"/>
                    </pic:cNvPicPr>
                  </pic:nvPicPr>
                  <pic:blipFill>
                    <a:blip r:embed="rId21" cstate="print"/>
                    <a:stretch>
                      <a:fillRect/>
                    </a:stretch>
                  </pic:blipFill>
                  <pic:spPr>
                    <a:xfrm>
                      <a:off x="0" y="0"/>
                      <a:ext cx="5262880" cy="2382520"/>
                    </a:xfrm>
                    <a:prstGeom prst="rect">
                      <a:avLst/>
                    </a:prstGeom>
                  </pic:spPr>
                </pic:pic>
              </a:graphicData>
            </a:graphic>
          </wp:inline>
        </w:drawing>
      </w:r>
    </w:p>
    <w:p w14:paraId="249FA99A"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以上，以《红色文化之井冈山革命旧址》课程的“1.1八角楼毛泽东同事旧居”章节为例，其余全部课程的全部章节任务点的学习流程均以此类推。</w:t>
      </w:r>
    </w:p>
    <w:p w14:paraId="1C3A3869" w14:textId="77777777" w:rsidR="00D31B59" w:rsidRDefault="00F66745">
      <w:pPr>
        <w:rPr>
          <w:rFonts w:ascii="仿宋_GB2312" w:eastAsia="仿宋_GB2312"/>
          <w:b/>
          <w:bCs/>
          <w:sz w:val="28"/>
          <w:szCs w:val="28"/>
        </w:rPr>
      </w:pPr>
      <w:r>
        <w:rPr>
          <w:rFonts w:ascii="仿宋_GB2312" w:eastAsia="仿宋_GB2312" w:hint="eastAsia"/>
          <w:b/>
          <w:bCs/>
          <w:sz w:val="28"/>
          <w:szCs w:val="28"/>
        </w:rPr>
        <w:t>（3）学习进度管理</w:t>
      </w:r>
    </w:p>
    <w:p w14:paraId="0092E838"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在修读过程中，同学们可以通过进入所修读的课程页面，如下图所示，</w:t>
      </w:r>
    </w:p>
    <w:p w14:paraId="1EE3582E"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70CECDC3" wp14:editId="48B8A89A">
            <wp:extent cx="5273675" cy="2228850"/>
            <wp:effectExtent l="0" t="0" r="3175" b="0"/>
            <wp:docPr id="15" name="图片 15" descr="1554986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54986963(1)"/>
                    <pic:cNvPicPr>
                      <a:picLocks noChangeAspect="1"/>
                    </pic:cNvPicPr>
                  </pic:nvPicPr>
                  <pic:blipFill>
                    <a:blip r:embed="rId22" cstate="print"/>
                    <a:stretch>
                      <a:fillRect/>
                    </a:stretch>
                  </pic:blipFill>
                  <pic:spPr>
                    <a:xfrm>
                      <a:off x="0" y="0"/>
                      <a:ext cx="5273675" cy="2228850"/>
                    </a:xfrm>
                    <a:prstGeom prst="rect">
                      <a:avLst/>
                    </a:prstGeom>
                  </pic:spPr>
                </pic:pic>
              </a:graphicData>
            </a:graphic>
          </wp:inline>
        </w:drawing>
      </w:r>
    </w:p>
    <w:p w14:paraId="12BA9A28"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点击右上角“统计”按钮，进入学习进度管理页面，如下图所示，</w:t>
      </w:r>
    </w:p>
    <w:p w14:paraId="1BB8AD6A"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6F28F209" wp14:editId="10DA3829">
            <wp:extent cx="5272405" cy="2221865"/>
            <wp:effectExtent l="0" t="0" r="4445" b="6985"/>
            <wp:docPr id="16" name="图片 16" descr="155498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54987036(1)"/>
                    <pic:cNvPicPr>
                      <a:picLocks noChangeAspect="1"/>
                    </pic:cNvPicPr>
                  </pic:nvPicPr>
                  <pic:blipFill>
                    <a:blip r:embed="rId23" cstate="print"/>
                    <a:stretch>
                      <a:fillRect/>
                    </a:stretch>
                  </pic:blipFill>
                  <pic:spPr>
                    <a:xfrm>
                      <a:off x="0" y="0"/>
                      <a:ext cx="5272405" cy="2221865"/>
                    </a:xfrm>
                    <a:prstGeom prst="rect">
                      <a:avLst/>
                    </a:prstGeom>
                  </pic:spPr>
                </pic:pic>
              </a:graphicData>
            </a:graphic>
          </wp:inline>
        </w:drawing>
      </w:r>
    </w:p>
    <w:p w14:paraId="16E1722C"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通过“进度统计”了解本门课程任务点完成数量，并了解学习进度情况。</w:t>
      </w:r>
    </w:p>
    <w:p w14:paraId="61E5B5B8" w14:textId="77777777" w:rsidR="00D31B59" w:rsidRDefault="00F66745">
      <w:pPr>
        <w:ind w:firstLineChars="200" w:firstLine="560"/>
        <w:rPr>
          <w:rFonts w:ascii="仿宋_GB2312" w:eastAsia="仿宋_GB2312"/>
          <w:sz w:val="28"/>
          <w:szCs w:val="28"/>
        </w:rPr>
      </w:pPr>
      <w:r>
        <w:rPr>
          <w:rFonts w:ascii="仿宋_GB2312" w:eastAsia="仿宋_GB2312" w:hint="eastAsia"/>
          <w:noProof/>
          <w:sz w:val="28"/>
          <w:szCs w:val="28"/>
        </w:rPr>
        <w:drawing>
          <wp:inline distT="0" distB="0" distL="114300" distR="114300" wp14:anchorId="1EA93E29" wp14:editId="5DC26663">
            <wp:extent cx="5272405" cy="2311400"/>
            <wp:effectExtent l="0" t="0" r="4445" b="12700"/>
            <wp:docPr id="17" name="图片 17" descr="1554987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54987143(1)"/>
                    <pic:cNvPicPr>
                      <a:picLocks noChangeAspect="1"/>
                    </pic:cNvPicPr>
                  </pic:nvPicPr>
                  <pic:blipFill>
                    <a:blip r:embed="rId24" cstate="print"/>
                    <a:stretch>
                      <a:fillRect/>
                    </a:stretch>
                  </pic:blipFill>
                  <pic:spPr>
                    <a:xfrm>
                      <a:off x="0" y="0"/>
                      <a:ext cx="5272405" cy="2311400"/>
                    </a:xfrm>
                    <a:prstGeom prst="rect">
                      <a:avLst/>
                    </a:prstGeom>
                  </pic:spPr>
                </pic:pic>
              </a:graphicData>
            </a:graphic>
          </wp:inline>
        </w:drawing>
      </w:r>
    </w:p>
    <w:p w14:paraId="44795116"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通过“章节统计”了解任一章节内的课程视频任务点和课程测验任务点的完成情况。</w:t>
      </w:r>
    </w:p>
    <w:p w14:paraId="7D289719" w14:textId="77777777" w:rsidR="00D31B59" w:rsidRDefault="00F66745">
      <w:pPr>
        <w:rPr>
          <w:rFonts w:ascii="仿宋_GB2312" w:eastAsia="仿宋_GB2312"/>
          <w:b/>
          <w:bCs/>
          <w:sz w:val="28"/>
          <w:szCs w:val="28"/>
        </w:rPr>
      </w:pPr>
      <w:r>
        <w:rPr>
          <w:rFonts w:ascii="仿宋_GB2312" w:eastAsia="仿宋_GB2312" w:hint="eastAsia"/>
          <w:b/>
          <w:bCs/>
          <w:sz w:val="28"/>
          <w:szCs w:val="28"/>
        </w:rPr>
        <w:t>（4）成绩考核</w:t>
      </w:r>
    </w:p>
    <w:p w14:paraId="19399FAF" w14:textId="5EC49E83" w:rsidR="00D31B59" w:rsidRDefault="00F66745">
      <w:pPr>
        <w:ind w:firstLineChars="200" w:firstLine="560"/>
        <w:rPr>
          <w:rFonts w:ascii="仿宋" w:eastAsia="仿宋_GB2312" w:hAnsi="仿宋" w:cs="仿宋"/>
          <w:sz w:val="28"/>
          <w:szCs w:val="28"/>
        </w:rPr>
      </w:pPr>
      <w:r>
        <w:rPr>
          <w:rFonts w:ascii="仿宋" w:eastAsia="仿宋_GB2312" w:hAnsi="仿宋" w:cs="仿宋" w:hint="eastAsia"/>
          <w:sz w:val="28"/>
          <w:szCs w:val="28"/>
        </w:rPr>
        <w:t>由于全部</w:t>
      </w:r>
      <w:r w:rsidR="00E5610B">
        <w:rPr>
          <w:rFonts w:ascii="仿宋" w:eastAsia="仿宋_GB2312" w:hAnsi="仿宋" w:cs="仿宋"/>
          <w:sz w:val="28"/>
          <w:szCs w:val="28"/>
        </w:rPr>
        <w:t>5</w:t>
      </w:r>
      <w:r w:rsidR="00021121">
        <w:rPr>
          <w:rFonts w:ascii="仿宋" w:eastAsia="仿宋_GB2312" w:hAnsi="仿宋" w:cs="仿宋" w:hint="eastAsia"/>
          <w:sz w:val="28"/>
          <w:szCs w:val="28"/>
        </w:rPr>
        <w:t>个专题内容</w:t>
      </w:r>
      <w:r>
        <w:rPr>
          <w:rFonts w:ascii="仿宋" w:eastAsia="仿宋_GB2312" w:hAnsi="仿宋" w:cs="仿宋" w:hint="eastAsia"/>
          <w:sz w:val="28"/>
          <w:szCs w:val="28"/>
        </w:rPr>
        <w:t>的考核方式均为线上考核，考核总成绩满分为</w:t>
      </w:r>
      <w:r>
        <w:rPr>
          <w:rFonts w:ascii="仿宋" w:eastAsia="仿宋_GB2312" w:hAnsi="仿宋" w:cs="仿宋" w:hint="eastAsia"/>
          <w:sz w:val="28"/>
          <w:szCs w:val="28"/>
        </w:rPr>
        <w:t>100</w:t>
      </w:r>
      <w:r>
        <w:rPr>
          <w:rFonts w:ascii="仿宋" w:eastAsia="仿宋_GB2312" w:hAnsi="仿宋" w:cs="仿宋" w:hint="eastAsia"/>
          <w:sz w:val="28"/>
          <w:szCs w:val="28"/>
        </w:rPr>
        <w:t>分，分别由“观看课程视频”任务点成绩和“完成课程测验”任务点成绩两部分组成；“观看课程视频”任务点成绩占总成绩比重为</w:t>
      </w:r>
      <w:r>
        <w:rPr>
          <w:rFonts w:ascii="仿宋" w:eastAsia="仿宋_GB2312" w:hAnsi="仿宋" w:cs="仿宋" w:hint="eastAsia"/>
          <w:sz w:val="28"/>
          <w:szCs w:val="28"/>
        </w:rPr>
        <w:t>50%</w:t>
      </w:r>
      <w:r>
        <w:rPr>
          <w:rFonts w:ascii="仿宋" w:eastAsia="仿宋_GB2312" w:hAnsi="仿宋" w:cs="仿宋" w:hint="eastAsia"/>
          <w:sz w:val="28"/>
          <w:szCs w:val="28"/>
        </w:rPr>
        <w:t>，该部分满分为</w:t>
      </w:r>
      <w:r>
        <w:rPr>
          <w:rFonts w:ascii="仿宋" w:eastAsia="仿宋_GB2312" w:hAnsi="仿宋" w:cs="仿宋" w:hint="eastAsia"/>
          <w:sz w:val="28"/>
          <w:szCs w:val="28"/>
        </w:rPr>
        <w:t>50</w:t>
      </w:r>
      <w:r>
        <w:rPr>
          <w:rFonts w:ascii="仿宋" w:eastAsia="仿宋_GB2312" w:hAnsi="仿宋" w:cs="仿宋" w:hint="eastAsia"/>
          <w:sz w:val="28"/>
          <w:szCs w:val="28"/>
        </w:rPr>
        <w:t>分，观看完成全部课程视频即可获得该部分成绩；“完成课程测验”任务点成绩占总成绩比重为</w:t>
      </w:r>
      <w:r>
        <w:rPr>
          <w:rFonts w:ascii="仿宋" w:eastAsia="仿宋_GB2312" w:hAnsi="仿宋" w:cs="仿宋" w:hint="eastAsia"/>
          <w:sz w:val="28"/>
          <w:szCs w:val="28"/>
        </w:rPr>
        <w:t>50%</w:t>
      </w:r>
      <w:r>
        <w:rPr>
          <w:rFonts w:ascii="仿宋" w:eastAsia="仿宋_GB2312" w:hAnsi="仿宋" w:cs="仿宋" w:hint="eastAsia"/>
          <w:sz w:val="28"/>
          <w:szCs w:val="28"/>
        </w:rPr>
        <w:t>，该部分</w:t>
      </w:r>
      <w:r>
        <w:rPr>
          <w:rFonts w:ascii="仿宋" w:eastAsia="仿宋_GB2312" w:hAnsi="仿宋" w:cs="仿宋" w:hint="eastAsia"/>
          <w:sz w:val="28"/>
          <w:szCs w:val="28"/>
        </w:rPr>
        <w:lastRenderedPageBreak/>
        <w:t>满分为</w:t>
      </w:r>
      <w:r>
        <w:rPr>
          <w:rFonts w:ascii="仿宋" w:eastAsia="仿宋_GB2312" w:hAnsi="仿宋" w:cs="仿宋" w:hint="eastAsia"/>
          <w:sz w:val="28"/>
          <w:szCs w:val="28"/>
        </w:rPr>
        <w:t>50</w:t>
      </w:r>
      <w:r>
        <w:rPr>
          <w:rFonts w:ascii="仿宋" w:eastAsia="仿宋_GB2312" w:hAnsi="仿宋" w:cs="仿宋" w:hint="eastAsia"/>
          <w:sz w:val="28"/>
          <w:szCs w:val="28"/>
        </w:rPr>
        <w:t>分，需根据同学课程测验完</w:t>
      </w:r>
      <w:r w:rsidR="00021121">
        <w:rPr>
          <w:rFonts w:ascii="仿宋" w:eastAsia="仿宋_GB2312" w:hAnsi="仿宋" w:cs="仿宋" w:hint="eastAsia"/>
          <w:sz w:val="28"/>
          <w:szCs w:val="28"/>
        </w:rPr>
        <w:t>成的具体情况获得该部分成绩；两部分成绩相加，即为本门课程的线上内容的学习</w:t>
      </w:r>
      <w:r>
        <w:rPr>
          <w:rFonts w:ascii="仿宋" w:eastAsia="仿宋_GB2312" w:hAnsi="仿宋" w:cs="仿宋" w:hint="eastAsia"/>
          <w:sz w:val="28"/>
          <w:szCs w:val="28"/>
        </w:rPr>
        <w:t>成绩。</w:t>
      </w:r>
    </w:p>
    <w:p w14:paraId="52AFAAF4"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以《红色文化之井冈山革命旧址》课程为例，可以通过进入所修读的课程页面点击右上角“统计”按钮，进入学习进度管理页面，如下图所示，</w:t>
      </w:r>
      <w:r>
        <w:rPr>
          <w:rFonts w:ascii="仿宋_GB2312" w:eastAsia="仿宋_GB2312" w:hint="eastAsia"/>
          <w:noProof/>
          <w:sz w:val="28"/>
          <w:szCs w:val="28"/>
        </w:rPr>
        <w:drawing>
          <wp:inline distT="0" distB="0" distL="114300" distR="114300" wp14:anchorId="05DEC659" wp14:editId="4E6C0AC4">
            <wp:extent cx="5269865" cy="2344420"/>
            <wp:effectExtent l="0" t="0" r="6985" b="17780"/>
            <wp:docPr id="18" name="图片 18" descr="1554988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54988071(1)"/>
                    <pic:cNvPicPr>
                      <a:picLocks noChangeAspect="1"/>
                    </pic:cNvPicPr>
                  </pic:nvPicPr>
                  <pic:blipFill>
                    <a:blip r:embed="rId25" cstate="print"/>
                    <a:stretch>
                      <a:fillRect/>
                    </a:stretch>
                  </pic:blipFill>
                  <pic:spPr>
                    <a:xfrm>
                      <a:off x="0" y="0"/>
                      <a:ext cx="5269865" cy="2344420"/>
                    </a:xfrm>
                    <a:prstGeom prst="rect">
                      <a:avLst/>
                    </a:prstGeom>
                  </pic:spPr>
                </pic:pic>
              </a:graphicData>
            </a:graphic>
          </wp:inline>
        </w:drawing>
      </w:r>
    </w:p>
    <w:p w14:paraId="383E3D31"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根据页面上显示的“考核办法”中的“考核内容”、“所占权重”和“我的成绩”实时跟进本门课程的考核成绩情况，在全部修读完成本门课程的所有课程</w:t>
      </w:r>
      <w:r w:rsidR="00021121">
        <w:rPr>
          <w:rFonts w:ascii="仿宋_GB2312" w:eastAsia="仿宋_GB2312" w:hint="eastAsia"/>
          <w:sz w:val="28"/>
          <w:szCs w:val="28"/>
        </w:rPr>
        <w:t>视频和课堂测验后，“我的成绩”中所显示的成绩即为本门课程的线上内容的学习</w:t>
      </w:r>
      <w:r>
        <w:rPr>
          <w:rFonts w:ascii="仿宋_GB2312" w:eastAsia="仿宋_GB2312" w:hint="eastAsia"/>
          <w:sz w:val="28"/>
          <w:szCs w:val="28"/>
        </w:rPr>
        <w:t>成绩。</w:t>
      </w:r>
    </w:p>
    <w:p w14:paraId="46BE3F84" w14:textId="77777777" w:rsidR="00D31B59" w:rsidRDefault="00D31B59">
      <w:pPr>
        <w:rPr>
          <w:rFonts w:ascii="仿宋_GB2312" w:eastAsia="仿宋_GB2312"/>
          <w:sz w:val="28"/>
          <w:szCs w:val="28"/>
        </w:rPr>
      </w:pPr>
    </w:p>
    <w:p w14:paraId="0B978612" w14:textId="77777777" w:rsidR="00D31B59" w:rsidRDefault="00F66745">
      <w:pPr>
        <w:numPr>
          <w:ilvl w:val="0"/>
          <w:numId w:val="2"/>
        </w:numPr>
        <w:rPr>
          <w:rFonts w:ascii="仿宋" w:eastAsia="仿宋_GB2312" w:hAnsi="仿宋" w:cs="仿宋"/>
          <w:b/>
          <w:bCs/>
          <w:sz w:val="28"/>
          <w:szCs w:val="28"/>
        </w:rPr>
      </w:pPr>
      <w:r>
        <w:rPr>
          <w:rFonts w:ascii="仿宋" w:eastAsia="仿宋_GB2312" w:hAnsi="仿宋" w:cs="仿宋" w:hint="eastAsia"/>
          <w:b/>
          <w:bCs/>
          <w:sz w:val="28"/>
          <w:szCs w:val="28"/>
        </w:rPr>
        <w:t>手机端修读模式操作说明：</w:t>
      </w:r>
    </w:p>
    <w:p w14:paraId="4EFF0F38" w14:textId="77777777" w:rsidR="00D31B59" w:rsidRDefault="00F66745">
      <w:pPr>
        <w:numPr>
          <w:ilvl w:val="0"/>
          <w:numId w:val="4"/>
        </w:numPr>
        <w:rPr>
          <w:rFonts w:ascii="仿宋_GB2312" w:eastAsia="仿宋_GB2312"/>
          <w:sz w:val="28"/>
          <w:szCs w:val="28"/>
        </w:rPr>
      </w:pPr>
      <w:r>
        <w:rPr>
          <w:rFonts w:ascii="仿宋_GB2312" w:eastAsia="仿宋_GB2312" w:hint="eastAsia"/>
          <w:b/>
          <w:bCs/>
          <w:sz w:val="28"/>
          <w:szCs w:val="28"/>
        </w:rPr>
        <w:t>登录：</w:t>
      </w:r>
      <w:r>
        <w:rPr>
          <w:rFonts w:ascii="仿宋_GB2312" w:eastAsia="仿宋_GB2312" w:hint="eastAsia"/>
          <w:sz w:val="28"/>
          <w:szCs w:val="28"/>
        </w:rPr>
        <w:t>下载“超星学习通”APP后，打开该APP，由首页面切换至“我”界面，如下图左所示；再点击上方登录；</w:t>
      </w:r>
      <w:r>
        <w:rPr>
          <w:noProof/>
          <w:szCs w:val="21"/>
        </w:rPr>
        <w:lastRenderedPageBreak/>
        <w:drawing>
          <wp:inline distT="0" distB="0" distL="0" distR="0" wp14:anchorId="21E5D127" wp14:editId="089597BE">
            <wp:extent cx="5133340" cy="5128895"/>
            <wp:effectExtent l="0" t="0" r="10160" b="14605"/>
            <wp:docPr id="19" name="图片 19" descr="C:\Users\向宇\Desktop\新建文件夹\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向宇\Desktop\新建文件夹\图片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33340" cy="5128895"/>
                    </a:xfrm>
                    <a:prstGeom prst="rect">
                      <a:avLst/>
                    </a:prstGeom>
                    <a:noFill/>
                    <a:ln>
                      <a:noFill/>
                    </a:ln>
                  </pic:spPr>
                </pic:pic>
              </a:graphicData>
            </a:graphic>
          </wp:inline>
        </w:drawing>
      </w:r>
    </w:p>
    <w:p w14:paraId="29F7B767" w14:textId="77777777" w:rsidR="00D31B59" w:rsidRDefault="00D31B59">
      <w:pPr>
        <w:rPr>
          <w:rFonts w:ascii="仿宋_GB2312" w:eastAsia="仿宋_GB2312"/>
          <w:sz w:val="28"/>
          <w:szCs w:val="28"/>
        </w:rPr>
      </w:pPr>
    </w:p>
    <w:p w14:paraId="1F43BF04" w14:textId="77777777" w:rsidR="00D31B59" w:rsidRDefault="00F66745">
      <w:pPr>
        <w:ind w:firstLineChars="200" w:firstLine="560"/>
        <w:rPr>
          <w:rFonts w:ascii="仿宋_GB2312" w:eastAsia="仿宋_GB2312"/>
          <w:sz w:val="28"/>
          <w:szCs w:val="28"/>
        </w:rPr>
      </w:pPr>
      <w:r>
        <w:rPr>
          <w:rFonts w:ascii="仿宋_GB2312" w:eastAsia="仿宋_GB2312"/>
          <w:sz w:val="28"/>
          <w:szCs w:val="28"/>
        </w:rPr>
        <w:t>跳转至如下图左页面，点击页面下方</w:t>
      </w:r>
      <w:r>
        <w:rPr>
          <w:rFonts w:ascii="仿宋_GB2312" w:eastAsia="仿宋_GB2312"/>
          <w:sz w:val="28"/>
          <w:szCs w:val="28"/>
        </w:rPr>
        <w:t>“</w:t>
      </w:r>
      <w:r>
        <w:rPr>
          <w:rFonts w:ascii="仿宋_GB2312" w:eastAsia="仿宋_GB2312"/>
          <w:sz w:val="28"/>
          <w:szCs w:val="28"/>
        </w:rPr>
        <w:t>其他登录方式</w:t>
      </w:r>
      <w:r>
        <w:rPr>
          <w:rFonts w:ascii="仿宋_GB2312" w:eastAsia="仿宋_GB2312"/>
          <w:sz w:val="28"/>
          <w:szCs w:val="28"/>
        </w:rPr>
        <w:t>”</w:t>
      </w:r>
      <w:r>
        <w:rPr>
          <w:rFonts w:ascii="仿宋_GB2312" w:eastAsia="仿宋_GB2312"/>
          <w:sz w:val="28"/>
          <w:szCs w:val="28"/>
        </w:rPr>
        <w:t>，输入机构名称</w:t>
      </w:r>
      <w:r>
        <w:rPr>
          <w:rFonts w:ascii="仿宋_GB2312" w:eastAsia="仿宋_GB2312" w:hint="eastAsia"/>
          <w:sz w:val="28"/>
          <w:szCs w:val="28"/>
        </w:rPr>
        <w:t>，即“</w:t>
      </w:r>
      <w:r>
        <w:rPr>
          <w:rFonts w:ascii="仿宋_GB2312" w:eastAsia="仿宋_GB2312"/>
          <w:sz w:val="28"/>
          <w:szCs w:val="28"/>
        </w:rPr>
        <w:t>广东外语外贸大学</w:t>
      </w:r>
      <w:r>
        <w:rPr>
          <w:rFonts w:ascii="仿宋_GB2312" w:eastAsia="仿宋_GB2312" w:hint="eastAsia"/>
          <w:sz w:val="28"/>
          <w:szCs w:val="28"/>
        </w:rPr>
        <w:t>”</w:t>
      </w:r>
      <w:r>
        <w:rPr>
          <w:rFonts w:ascii="仿宋_GB2312" w:eastAsia="仿宋_GB2312"/>
          <w:sz w:val="28"/>
          <w:szCs w:val="28"/>
        </w:rPr>
        <w:t>，输入学号及初次登录密码123456</w:t>
      </w:r>
      <w:r>
        <w:rPr>
          <w:rFonts w:ascii="仿宋_GB2312" w:eastAsia="仿宋_GB2312" w:hint="eastAsia"/>
          <w:sz w:val="28"/>
          <w:szCs w:val="28"/>
        </w:rPr>
        <w:t>；</w:t>
      </w:r>
    </w:p>
    <w:p w14:paraId="0503B2B5" w14:textId="77777777" w:rsidR="00D31B59" w:rsidRDefault="00F66745">
      <w:pPr>
        <w:ind w:firstLineChars="200" w:firstLine="420"/>
        <w:rPr>
          <w:rFonts w:ascii="仿宋_GB2312" w:eastAsia="仿宋_GB2312"/>
          <w:sz w:val="28"/>
          <w:szCs w:val="28"/>
        </w:rPr>
      </w:pPr>
      <w:r>
        <w:rPr>
          <w:noProof/>
          <w:szCs w:val="21"/>
        </w:rPr>
        <w:lastRenderedPageBreak/>
        <w:drawing>
          <wp:inline distT="0" distB="0" distL="0" distR="0" wp14:anchorId="6DEB0DF1" wp14:editId="6D82C00C">
            <wp:extent cx="4657090" cy="4420870"/>
            <wp:effectExtent l="0" t="0" r="10160" b="17780"/>
            <wp:docPr id="20" name="图片 20" descr="C:\Users\向宇\Desktop\新建文件夹\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向宇\Desktop\新建文件夹\图片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57090" cy="4420870"/>
                    </a:xfrm>
                    <a:prstGeom prst="rect">
                      <a:avLst/>
                    </a:prstGeom>
                    <a:noFill/>
                    <a:ln>
                      <a:noFill/>
                    </a:ln>
                  </pic:spPr>
                </pic:pic>
              </a:graphicData>
            </a:graphic>
          </wp:inline>
        </w:drawing>
      </w:r>
    </w:p>
    <w:p w14:paraId="79EB6A58"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需</w:t>
      </w:r>
      <w:r>
        <w:rPr>
          <w:rFonts w:ascii="仿宋_GB2312" w:eastAsia="仿宋_GB2312"/>
          <w:sz w:val="28"/>
          <w:szCs w:val="28"/>
        </w:rPr>
        <w:t>修改初始密码，设置为个人密码，如下图左所示，然后依照提示绑定手机号</w:t>
      </w:r>
      <w:r>
        <w:rPr>
          <w:rFonts w:ascii="仿宋_GB2312" w:eastAsia="仿宋_GB2312" w:hint="eastAsia"/>
          <w:sz w:val="28"/>
          <w:szCs w:val="28"/>
        </w:rPr>
        <w:t>，</w:t>
      </w:r>
      <w:r>
        <w:rPr>
          <w:rFonts w:ascii="仿宋_GB2312" w:eastAsia="仿宋_GB2312"/>
          <w:sz w:val="28"/>
          <w:szCs w:val="28"/>
        </w:rPr>
        <w:t>绑定手机号后，再次登录即可直接使用手机号登录。</w:t>
      </w:r>
      <w:r>
        <w:rPr>
          <w:rFonts w:ascii="仿宋_GB2312" w:eastAsia="仿宋_GB2312" w:hint="eastAsia"/>
          <w:sz w:val="28"/>
          <w:szCs w:val="28"/>
        </w:rPr>
        <w:t xml:space="preserve">               </w:t>
      </w:r>
      <w:r>
        <w:rPr>
          <w:rFonts w:ascii="仿宋_GB2312" w:eastAsia="仿宋_GB2312"/>
          <w:sz w:val="28"/>
          <w:szCs w:val="28"/>
        </w:rPr>
        <w:t>如果手机号已经注册或绑定</w:t>
      </w:r>
      <w:r>
        <w:rPr>
          <w:rFonts w:ascii="仿宋_GB2312" w:eastAsia="仿宋_GB2312" w:hint="eastAsia"/>
          <w:sz w:val="28"/>
          <w:szCs w:val="28"/>
        </w:rPr>
        <w:t>过该APP</w:t>
      </w:r>
      <w:r>
        <w:rPr>
          <w:rFonts w:ascii="仿宋_GB2312" w:eastAsia="仿宋_GB2312"/>
          <w:sz w:val="28"/>
          <w:szCs w:val="28"/>
        </w:rPr>
        <w:t>导致无法绑定的，</w:t>
      </w:r>
      <w:r>
        <w:rPr>
          <w:rFonts w:ascii="仿宋_GB2312" w:eastAsia="仿宋_GB2312" w:hint="eastAsia"/>
          <w:sz w:val="28"/>
          <w:szCs w:val="28"/>
        </w:rPr>
        <w:t>直接联系页面右上角“</w:t>
      </w:r>
      <w:r>
        <w:rPr>
          <w:rFonts w:ascii="仿宋_GB2312" w:eastAsia="仿宋_GB2312"/>
          <w:sz w:val="28"/>
          <w:szCs w:val="28"/>
        </w:rPr>
        <w:t>客服</w:t>
      </w:r>
      <w:r>
        <w:rPr>
          <w:rFonts w:ascii="仿宋_GB2312" w:eastAsia="仿宋_GB2312" w:hint="eastAsia"/>
          <w:sz w:val="28"/>
          <w:szCs w:val="28"/>
        </w:rPr>
        <w:t>”</w:t>
      </w:r>
      <w:r>
        <w:rPr>
          <w:rFonts w:ascii="仿宋_GB2312" w:eastAsia="仿宋_GB2312"/>
          <w:sz w:val="28"/>
          <w:szCs w:val="28"/>
        </w:rPr>
        <w:t>进行解决。</w:t>
      </w:r>
    </w:p>
    <w:p w14:paraId="575BB2B2" w14:textId="77777777" w:rsidR="00D31B59" w:rsidRDefault="00F66745">
      <w:pPr>
        <w:ind w:firstLineChars="200" w:firstLine="560"/>
        <w:rPr>
          <w:rFonts w:ascii="仿宋_GB2312" w:eastAsia="仿宋_GB2312"/>
          <w:sz w:val="28"/>
          <w:szCs w:val="28"/>
        </w:rPr>
      </w:pPr>
      <w:r>
        <w:rPr>
          <w:rFonts w:ascii="仿宋_GB2312" w:eastAsia="仿宋_GB2312" w:hint="eastAsia"/>
          <w:sz w:val="28"/>
          <w:szCs w:val="28"/>
        </w:rPr>
        <w:t>手机端登录所绑定手机号应与电脑端所绑定手机号一致，后续电脑端和手机端均可通过手机号进行登录。</w:t>
      </w:r>
    </w:p>
    <w:p w14:paraId="73E332E6" w14:textId="77777777" w:rsidR="00D31B59" w:rsidRDefault="00F66745">
      <w:pPr>
        <w:rPr>
          <w:rFonts w:ascii="仿宋_GB2312" w:eastAsia="仿宋_GB2312"/>
          <w:sz w:val="28"/>
          <w:szCs w:val="28"/>
        </w:rPr>
      </w:pPr>
      <w:r>
        <w:rPr>
          <w:noProof/>
          <w:szCs w:val="21"/>
        </w:rPr>
        <w:lastRenderedPageBreak/>
        <w:drawing>
          <wp:inline distT="0" distB="0" distL="0" distR="0" wp14:anchorId="4C0E82F8" wp14:editId="63C3529C">
            <wp:extent cx="5152390" cy="4617085"/>
            <wp:effectExtent l="0" t="0" r="10160" b="12065"/>
            <wp:docPr id="21" name="图片 21" descr="C:\Users\向宇\Desktop\新建文件夹\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向宇\Desktop\新建文件夹\图片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52390" cy="4617085"/>
                    </a:xfrm>
                    <a:prstGeom prst="rect">
                      <a:avLst/>
                    </a:prstGeom>
                    <a:noFill/>
                    <a:ln>
                      <a:noFill/>
                    </a:ln>
                  </pic:spPr>
                </pic:pic>
              </a:graphicData>
            </a:graphic>
          </wp:inline>
        </w:drawing>
      </w:r>
    </w:p>
    <w:p w14:paraId="6E249265" w14:textId="77777777" w:rsidR="00D31B59" w:rsidRDefault="00D31B59">
      <w:pPr>
        <w:rPr>
          <w:rFonts w:ascii="仿宋" w:eastAsia="仿宋_GB2312" w:hAnsi="仿宋" w:cs="仿宋"/>
          <w:sz w:val="28"/>
          <w:szCs w:val="28"/>
        </w:rPr>
      </w:pPr>
    </w:p>
    <w:p w14:paraId="0C111BD0" w14:textId="77777777" w:rsidR="00D31B59" w:rsidRDefault="00F66745">
      <w:pPr>
        <w:rPr>
          <w:rFonts w:ascii="仿宋" w:eastAsia="仿宋_GB2312" w:hAnsi="仿宋" w:cs="仿宋"/>
          <w:sz w:val="28"/>
          <w:szCs w:val="28"/>
        </w:rPr>
      </w:pPr>
      <w:r>
        <w:rPr>
          <w:rFonts w:ascii="仿宋" w:eastAsia="仿宋_GB2312" w:hAnsi="仿宋" w:cs="仿宋" w:hint="eastAsia"/>
          <w:b/>
          <w:bCs/>
          <w:sz w:val="28"/>
          <w:szCs w:val="28"/>
        </w:rPr>
        <w:t>（</w:t>
      </w:r>
      <w:r>
        <w:rPr>
          <w:rFonts w:ascii="仿宋" w:eastAsia="仿宋_GB2312" w:hAnsi="仿宋" w:cs="仿宋" w:hint="eastAsia"/>
          <w:b/>
          <w:bCs/>
          <w:sz w:val="28"/>
          <w:szCs w:val="28"/>
        </w:rPr>
        <w:t>2</w:t>
      </w:r>
      <w:r>
        <w:rPr>
          <w:rFonts w:ascii="仿宋" w:eastAsia="仿宋_GB2312" w:hAnsi="仿宋" w:cs="仿宋" w:hint="eastAsia"/>
          <w:b/>
          <w:bCs/>
          <w:sz w:val="28"/>
          <w:szCs w:val="28"/>
        </w:rPr>
        <w:t>）课程修读：</w:t>
      </w:r>
      <w:r>
        <w:rPr>
          <w:rFonts w:ascii="仿宋" w:eastAsia="仿宋_GB2312" w:hAnsi="仿宋" w:cs="仿宋" w:hint="eastAsia"/>
          <w:sz w:val="28"/>
          <w:szCs w:val="28"/>
        </w:rPr>
        <w:t>登录之后显示为首页面，切换至“我”页面点击“课程”，如下图左所示，选择需要学习的课程点击进入，</w:t>
      </w:r>
      <w:r>
        <w:rPr>
          <w:noProof/>
          <w:szCs w:val="21"/>
        </w:rPr>
        <w:lastRenderedPageBreak/>
        <w:drawing>
          <wp:inline distT="0" distB="0" distL="0" distR="0" wp14:anchorId="574527CD" wp14:editId="1314CA5A">
            <wp:extent cx="5180965" cy="4509770"/>
            <wp:effectExtent l="0" t="0" r="635" b="5080"/>
            <wp:docPr id="22" name="图片 22" descr="C:\Users\向宇\Desktop\新建文件夹\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向宇\Desktop\新建文件夹\图片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80965" cy="4509770"/>
                    </a:xfrm>
                    <a:prstGeom prst="rect">
                      <a:avLst/>
                    </a:prstGeom>
                    <a:noFill/>
                    <a:ln>
                      <a:noFill/>
                    </a:ln>
                  </pic:spPr>
                </pic:pic>
              </a:graphicData>
            </a:graphic>
          </wp:inline>
        </w:drawing>
      </w:r>
    </w:p>
    <w:p w14:paraId="0764BC6E" w14:textId="77777777" w:rsidR="00D31B59" w:rsidRDefault="00F66745">
      <w:pPr>
        <w:ind w:firstLineChars="200" w:firstLine="560"/>
        <w:rPr>
          <w:rFonts w:ascii="仿宋" w:eastAsia="仿宋_GB2312" w:hAnsi="仿宋" w:cs="仿宋"/>
          <w:sz w:val="28"/>
          <w:szCs w:val="28"/>
        </w:rPr>
      </w:pPr>
      <w:r>
        <w:rPr>
          <w:rFonts w:ascii="仿宋" w:eastAsia="仿宋_GB2312" w:hAnsi="仿宋" w:cs="仿宋" w:hint="eastAsia"/>
          <w:sz w:val="28"/>
          <w:szCs w:val="28"/>
        </w:rPr>
        <w:t>以《红色文化之瑞金革命旧址》为例，进入课程首页面如下图左所示，切换至“章节”一栏，可以看到课程的章节目录如下图右所示，每一章节包含不同任务点数，任务点数由课程视频和课程测验组成，完成该章对应任务点数后方可解锁下一章节，每一章节待完成点数会在界面提示显示；</w:t>
      </w:r>
    </w:p>
    <w:p w14:paraId="3E9D6E79" w14:textId="77777777" w:rsidR="00D31B59" w:rsidRDefault="00F66745">
      <w:pPr>
        <w:ind w:firstLineChars="200" w:firstLine="420"/>
        <w:rPr>
          <w:szCs w:val="21"/>
        </w:rPr>
      </w:pPr>
      <w:r>
        <w:rPr>
          <w:noProof/>
          <w:szCs w:val="21"/>
        </w:rPr>
        <w:lastRenderedPageBreak/>
        <w:drawing>
          <wp:inline distT="0" distB="0" distL="0" distR="0" wp14:anchorId="1FA3A13C" wp14:editId="636D39A9">
            <wp:extent cx="4809490" cy="4334510"/>
            <wp:effectExtent l="0" t="0" r="10160" b="8890"/>
            <wp:docPr id="34" name="图片 34" descr="C:\Users\向宇\Desktop\新建文件夹\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向宇\Desktop\新建文件夹\图片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09490" cy="4334510"/>
                    </a:xfrm>
                    <a:prstGeom prst="rect">
                      <a:avLst/>
                    </a:prstGeom>
                    <a:noFill/>
                    <a:ln>
                      <a:noFill/>
                    </a:ln>
                  </pic:spPr>
                </pic:pic>
              </a:graphicData>
            </a:graphic>
          </wp:inline>
        </w:drawing>
      </w:r>
    </w:p>
    <w:p w14:paraId="38A3FFBC" w14:textId="77777777" w:rsidR="00D31B59" w:rsidRDefault="00D31B59">
      <w:pPr>
        <w:ind w:firstLineChars="200" w:firstLine="420"/>
        <w:rPr>
          <w:szCs w:val="21"/>
        </w:rPr>
      </w:pPr>
    </w:p>
    <w:p w14:paraId="069698BB" w14:textId="77777777" w:rsidR="00D31B59" w:rsidRDefault="00F66745">
      <w:pPr>
        <w:ind w:firstLineChars="200" w:firstLine="560"/>
        <w:rPr>
          <w:rFonts w:ascii="仿宋" w:eastAsia="仿宋_GB2312" w:hAnsi="仿宋" w:cs="仿宋"/>
          <w:sz w:val="28"/>
          <w:szCs w:val="28"/>
        </w:rPr>
      </w:pPr>
      <w:r>
        <w:rPr>
          <w:rFonts w:ascii="仿宋" w:eastAsia="仿宋_GB2312" w:hAnsi="仿宋" w:cs="仿宋" w:hint="eastAsia"/>
          <w:sz w:val="28"/>
          <w:szCs w:val="28"/>
        </w:rPr>
        <w:t>点击进入待完成任务点数的章节，完成课程视频的完整观看，观看过程中不可切换或拖拽窗口后，全部观看完成后即可消除一任务点数；同样完成课程测验后可以消除对应任务点数，具体方式可参考电脑端学习过程；</w:t>
      </w:r>
    </w:p>
    <w:p w14:paraId="5A6DF1B5" w14:textId="77777777" w:rsidR="00D31B59" w:rsidRDefault="00F66745">
      <w:pPr>
        <w:ind w:firstLineChars="200" w:firstLine="420"/>
        <w:rPr>
          <w:rFonts w:ascii="仿宋" w:eastAsia="仿宋_GB2312" w:hAnsi="仿宋" w:cs="仿宋"/>
          <w:sz w:val="28"/>
          <w:szCs w:val="28"/>
        </w:rPr>
      </w:pPr>
      <w:r>
        <w:rPr>
          <w:noProof/>
          <w:szCs w:val="21"/>
        </w:rPr>
        <w:lastRenderedPageBreak/>
        <w:drawing>
          <wp:inline distT="0" distB="0" distL="0" distR="0" wp14:anchorId="7049F171" wp14:editId="5FC06F37">
            <wp:extent cx="4761865" cy="4626610"/>
            <wp:effectExtent l="0" t="0" r="635" b="2540"/>
            <wp:docPr id="35" name="图片 35" descr="C:\Users\向宇\Desktop\新建文件夹\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向宇\Desktop\新建文件夹\图片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61865" cy="4626610"/>
                    </a:xfrm>
                    <a:prstGeom prst="rect">
                      <a:avLst/>
                    </a:prstGeom>
                    <a:noFill/>
                    <a:ln>
                      <a:noFill/>
                    </a:ln>
                  </pic:spPr>
                </pic:pic>
              </a:graphicData>
            </a:graphic>
          </wp:inline>
        </w:drawing>
      </w:r>
    </w:p>
    <w:p w14:paraId="46DE9A4D" w14:textId="77777777" w:rsidR="00D31B59" w:rsidRDefault="00F66745">
      <w:pPr>
        <w:ind w:firstLineChars="200" w:firstLine="560"/>
        <w:rPr>
          <w:rFonts w:ascii="仿宋" w:eastAsia="仿宋_GB2312" w:hAnsi="仿宋" w:cs="仿宋"/>
          <w:sz w:val="28"/>
          <w:szCs w:val="28"/>
        </w:rPr>
      </w:pPr>
      <w:r>
        <w:rPr>
          <w:rFonts w:ascii="仿宋" w:eastAsia="仿宋_GB2312" w:hAnsi="仿宋" w:cs="仿宋" w:hint="eastAsia"/>
          <w:sz w:val="28"/>
          <w:szCs w:val="28"/>
        </w:rPr>
        <w:t>点击“提交作业”完成试题测验，点击“查看结果”可以查看试题完成及正误情况。</w:t>
      </w:r>
    </w:p>
    <w:p w14:paraId="64D244E0" w14:textId="77777777" w:rsidR="00D31B59" w:rsidRDefault="00F66745">
      <w:pPr>
        <w:ind w:firstLineChars="200" w:firstLine="420"/>
        <w:rPr>
          <w:szCs w:val="21"/>
        </w:rPr>
      </w:pPr>
      <w:r>
        <w:rPr>
          <w:noProof/>
          <w:szCs w:val="21"/>
        </w:rPr>
        <w:lastRenderedPageBreak/>
        <w:drawing>
          <wp:inline distT="0" distB="0" distL="0" distR="0" wp14:anchorId="747771DC" wp14:editId="2557FFCE">
            <wp:extent cx="4771390" cy="3954145"/>
            <wp:effectExtent l="0" t="0" r="10160" b="8255"/>
            <wp:docPr id="37" name="图片 37" descr="C:\Users\向宇\Desktop\新建文件夹\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向宇\Desktop\新建文件夹\图片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71390" cy="3954145"/>
                    </a:xfrm>
                    <a:prstGeom prst="rect">
                      <a:avLst/>
                    </a:prstGeom>
                    <a:noFill/>
                    <a:ln>
                      <a:noFill/>
                    </a:ln>
                  </pic:spPr>
                </pic:pic>
              </a:graphicData>
            </a:graphic>
          </wp:inline>
        </w:drawing>
      </w:r>
    </w:p>
    <w:p w14:paraId="71A93B76" w14:textId="77777777" w:rsidR="00D31B59" w:rsidRDefault="00D31B59">
      <w:pPr>
        <w:ind w:firstLineChars="200" w:firstLine="560"/>
        <w:rPr>
          <w:rFonts w:ascii="仿宋" w:eastAsia="仿宋_GB2312" w:hAnsi="仿宋" w:cs="仿宋"/>
          <w:sz w:val="28"/>
          <w:szCs w:val="28"/>
        </w:rPr>
      </w:pPr>
    </w:p>
    <w:p w14:paraId="045B01E7" w14:textId="77777777" w:rsidR="00D31B59" w:rsidRDefault="00F66745">
      <w:pPr>
        <w:ind w:firstLineChars="200" w:firstLine="560"/>
        <w:rPr>
          <w:rFonts w:ascii="仿宋" w:eastAsia="仿宋_GB2312" w:hAnsi="仿宋" w:cs="仿宋"/>
          <w:sz w:val="28"/>
          <w:szCs w:val="28"/>
        </w:rPr>
      </w:pPr>
      <w:r>
        <w:rPr>
          <w:rFonts w:ascii="仿宋" w:eastAsia="仿宋_GB2312" w:hAnsi="仿宋" w:cs="仿宋" w:hint="eastAsia"/>
          <w:sz w:val="28"/>
          <w:szCs w:val="28"/>
        </w:rPr>
        <w:t>以上，其余操作均可参考电脑端课程修读过程，在此不再赘述。</w:t>
      </w:r>
    </w:p>
    <w:p w14:paraId="32649AEA" w14:textId="77777777" w:rsidR="00D31B59" w:rsidRDefault="00D31B59">
      <w:pPr>
        <w:rPr>
          <w:rFonts w:ascii="仿宋" w:eastAsia="仿宋_GB2312" w:hAnsi="仿宋" w:cs="仿宋"/>
          <w:sz w:val="28"/>
          <w:szCs w:val="28"/>
        </w:rPr>
      </w:pPr>
    </w:p>
    <w:p w14:paraId="5897CBFD" w14:textId="77777777" w:rsidR="00D31B59" w:rsidRDefault="00F66745">
      <w:pPr>
        <w:numPr>
          <w:ilvl w:val="0"/>
          <w:numId w:val="1"/>
        </w:numPr>
        <w:rPr>
          <w:rFonts w:ascii="仿宋" w:eastAsia="仿宋_GB2312" w:hAnsi="仿宋" w:cs="仿宋"/>
          <w:b/>
          <w:bCs/>
          <w:sz w:val="32"/>
          <w:szCs w:val="32"/>
        </w:rPr>
      </w:pPr>
      <w:r>
        <w:rPr>
          <w:rFonts w:ascii="仿宋" w:eastAsia="仿宋_GB2312" w:hAnsi="仿宋" w:cs="仿宋" w:hint="eastAsia"/>
          <w:b/>
          <w:bCs/>
          <w:sz w:val="32"/>
          <w:szCs w:val="32"/>
        </w:rPr>
        <w:t>咨询答疑相关说明</w:t>
      </w:r>
    </w:p>
    <w:p w14:paraId="52797F9A" w14:textId="77777777" w:rsidR="00D31B59" w:rsidRDefault="00013A42" w:rsidP="00013A42">
      <w:pPr>
        <w:tabs>
          <w:tab w:val="left" w:pos="312"/>
        </w:tabs>
        <w:rPr>
          <w:rFonts w:ascii="仿宋_GB2312" w:eastAsia="仿宋_GB2312"/>
          <w:sz w:val="28"/>
          <w:szCs w:val="28"/>
        </w:rPr>
      </w:pPr>
      <w:r>
        <w:rPr>
          <w:rFonts w:ascii="仿宋" w:eastAsia="仿宋_GB2312" w:hAnsi="仿宋" w:cs="仿宋" w:hint="eastAsia"/>
          <w:b/>
          <w:bCs/>
          <w:sz w:val="28"/>
          <w:szCs w:val="28"/>
        </w:rPr>
        <w:t>1</w:t>
      </w:r>
      <w:r>
        <w:rPr>
          <w:rFonts w:ascii="仿宋" w:eastAsia="仿宋_GB2312" w:hAnsi="仿宋" w:cs="仿宋" w:hint="eastAsia"/>
          <w:b/>
          <w:bCs/>
          <w:sz w:val="28"/>
          <w:szCs w:val="28"/>
        </w:rPr>
        <w:t>、</w:t>
      </w:r>
      <w:r w:rsidR="00F66745">
        <w:rPr>
          <w:rFonts w:ascii="仿宋" w:eastAsia="仿宋_GB2312" w:hAnsi="仿宋" w:cs="仿宋" w:hint="eastAsia"/>
          <w:b/>
          <w:bCs/>
          <w:sz w:val="28"/>
          <w:szCs w:val="28"/>
        </w:rPr>
        <w:t>在线客服咨询答疑：</w:t>
      </w:r>
      <w:r w:rsidR="00F66745">
        <w:rPr>
          <w:rFonts w:ascii="仿宋" w:eastAsia="仿宋_GB2312" w:hAnsi="仿宋" w:cs="仿宋" w:hint="eastAsia"/>
          <w:sz w:val="28"/>
          <w:szCs w:val="28"/>
        </w:rPr>
        <w:t>在</w:t>
      </w:r>
      <w:r w:rsidR="00F66745">
        <w:rPr>
          <w:rFonts w:ascii="仿宋_GB2312" w:eastAsia="仿宋_GB2312" w:hint="eastAsia"/>
          <w:sz w:val="28"/>
          <w:szCs w:val="28"/>
        </w:rPr>
        <w:t>课程修读过程中有问题可以直接点击咨询实践教学平台的在线客服或拨打客服电话，具体在线客服情况为：</w:t>
      </w:r>
    </w:p>
    <w:p w14:paraId="1A2116DB" w14:textId="77777777" w:rsidR="00D31B59" w:rsidRDefault="00F66745">
      <w:pPr>
        <w:rPr>
          <w:rFonts w:ascii="仿宋_GB2312" w:eastAsia="仿宋_GB2312"/>
          <w:sz w:val="28"/>
          <w:szCs w:val="28"/>
        </w:rPr>
      </w:pPr>
      <w:r>
        <w:rPr>
          <w:rFonts w:ascii="仿宋_GB2312" w:eastAsia="仿宋_GB2312" w:hint="eastAsia"/>
          <w:sz w:val="28"/>
          <w:szCs w:val="28"/>
        </w:rPr>
        <w:t>（1）在线客服、热线电话服务时间：</w:t>
      </w:r>
    </w:p>
    <w:p w14:paraId="02769638" w14:textId="77777777" w:rsidR="00D31B59" w:rsidRDefault="00F66745">
      <w:pPr>
        <w:rPr>
          <w:rFonts w:ascii="仿宋_GB2312" w:eastAsia="仿宋_GB2312"/>
          <w:sz w:val="28"/>
          <w:szCs w:val="28"/>
        </w:rPr>
      </w:pPr>
      <w:r>
        <w:rPr>
          <w:rFonts w:ascii="仿宋_GB2312" w:eastAsia="仿宋_GB2312" w:hint="eastAsia"/>
          <w:sz w:val="28"/>
          <w:szCs w:val="28"/>
        </w:rPr>
        <w:t>周一至周五：08:30--23:00</w:t>
      </w:r>
    </w:p>
    <w:p w14:paraId="1A6DA0D6" w14:textId="77777777" w:rsidR="00D31B59" w:rsidRDefault="00F66745">
      <w:pPr>
        <w:rPr>
          <w:rFonts w:ascii="仿宋_GB2312" w:eastAsia="仿宋_GB2312"/>
          <w:sz w:val="28"/>
          <w:szCs w:val="28"/>
        </w:rPr>
      </w:pPr>
      <w:r>
        <w:rPr>
          <w:rFonts w:ascii="仿宋_GB2312" w:eastAsia="仿宋_GB2312" w:hint="eastAsia"/>
          <w:sz w:val="28"/>
          <w:szCs w:val="28"/>
        </w:rPr>
        <w:t>周六、日及节假日：09:00--23:00</w:t>
      </w:r>
    </w:p>
    <w:p w14:paraId="7ABFF7F3" w14:textId="77777777" w:rsidR="00D31B59" w:rsidRDefault="00F66745">
      <w:pPr>
        <w:numPr>
          <w:ilvl w:val="0"/>
          <w:numId w:val="4"/>
        </w:numPr>
        <w:rPr>
          <w:rFonts w:ascii="仿宋_GB2312" w:eastAsia="仿宋_GB2312"/>
          <w:sz w:val="28"/>
          <w:szCs w:val="28"/>
        </w:rPr>
      </w:pPr>
      <w:r>
        <w:rPr>
          <w:rFonts w:ascii="仿宋_GB2312" w:eastAsia="仿宋_GB2312" w:hint="eastAsia"/>
          <w:sz w:val="28"/>
          <w:szCs w:val="28"/>
        </w:rPr>
        <w:t>在线客服、热线电话服务方式:</w:t>
      </w:r>
    </w:p>
    <w:p w14:paraId="31981DB0" w14:textId="77777777" w:rsidR="00D31B59" w:rsidRDefault="00F66745">
      <w:pPr>
        <w:rPr>
          <w:rFonts w:ascii="仿宋_GB2312" w:eastAsia="仿宋_GB2312"/>
          <w:sz w:val="28"/>
          <w:szCs w:val="28"/>
        </w:rPr>
      </w:pPr>
      <w:r>
        <w:rPr>
          <w:rFonts w:ascii="仿宋_GB2312" w:eastAsia="仿宋_GB2312" w:hint="eastAsia"/>
          <w:sz w:val="28"/>
          <w:szCs w:val="28"/>
        </w:rPr>
        <w:t>服务热线：400-902-0966</w:t>
      </w:r>
    </w:p>
    <w:p w14:paraId="33B7BEE2" w14:textId="77777777" w:rsidR="00D31B59" w:rsidRDefault="00F66745">
      <w:pPr>
        <w:rPr>
          <w:rFonts w:ascii="仿宋_GB2312" w:eastAsia="仿宋_GB2312"/>
          <w:sz w:val="28"/>
          <w:szCs w:val="28"/>
        </w:rPr>
      </w:pPr>
      <w:r>
        <w:rPr>
          <w:rFonts w:ascii="仿宋_GB2312" w:eastAsia="仿宋_GB2312" w:hint="eastAsia"/>
          <w:sz w:val="28"/>
          <w:szCs w:val="28"/>
        </w:rPr>
        <w:t>在线客服：具体咨询方式如下图所示，可在平台多个界面和位置直接</w:t>
      </w:r>
      <w:r>
        <w:rPr>
          <w:rFonts w:ascii="仿宋_GB2312" w:eastAsia="仿宋_GB2312" w:hint="eastAsia"/>
          <w:sz w:val="28"/>
          <w:szCs w:val="28"/>
        </w:rPr>
        <w:lastRenderedPageBreak/>
        <w:t>点击“在线客服”按钮，进入在线客服咨询与服务对话框，</w:t>
      </w:r>
    </w:p>
    <w:p w14:paraId="2B22A4B1" w14:textId="77777777" w:rsidR="00D31B59" w:rsidRDefault="00F66745">
      <w:pPr>
        <w:rPr>
          <w:rFonts w:ascii="仿宋_GB2312" w:eastAsia="仿宋_GB2312"/>
          <w:sz w:val="28"/>
          <w:szCs w:val="28"/>
        </w:rPr>
      </w:pPr>
      <w:r>
        <w:rPr>
          <w:rFonts w:ascii="仿宋_GB2312" w:eastAsia="仿宋_GB2312"/>
          <w:noProof/>
          <w:sz w:val="28"/>
          <w:szCs w:val="28"/>
        </w:rPr>
        <w:drawing>
          <wp:inline distT="0" distB="0" distL="114300" distR="114300" wp14:anchorId="3BFD577B" wp14:editId="0111D4C4">
            <wp:extent cx="5264150" cy="2688590"/>
            <wp:effectExtent l="0" t="0" r="12700" b="16510"/>
            <wp:docPr id="23" name="图片 23" descr="155498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54989763(1)"/>
                    <pic:cNvPicPr>
                      <a:picLocks noChangeAspect="1"/>
                    </pic:cNvPicPr>
                  </pic:nvPicPr>
                  <pic:blipFill>
                    <a:blip r:embed="rId33" cstate="print"/>
                    <a:stretch>
                      <a:fillRect/>
                    </a:stretch>
                  </pic:blipFill>
                  <pic:spPr>
                    <a:xfrm>
                      <a:off x="0" y="0"/>
                      <a:ext cx="5264150" cy="2688590"/>
                    </a:xfrm>
                    <a:prstGeom prst="rect">
                      <a:avLst/>
                    </a:prstGeom>
                  </pic:spPr>
                </pic:pic>
              </a:graphicData>
            </a:graphic>
          </wp:inline>
        </w:drawing>
      </w:r>
    </w:p>
    <w:p w14:paraId="6B14E3CE" w14:textId="77777777" w:rsidR="00D31B59" w:rsidRDefault="00F66745">
      <w:pPr>
        <w:rPr>
          <w:rFonts w:ascii="仿宋_GB2312" w:eastAsia="仿宋_GB2312"/>
          <w:sz w:val="28"/>
          <w:szCs w:val="28"/>
        </w:rPr>
      </w:pPr>
      <w:r>
        <w:rPr>
          <w:rFonts w:ascii="仿宋_GB2312" w:eastAsia="仿宋_GB2312"/>
          <w:noProof/>
          <w:sz w:val="28"/>
          <w:szCs w:val="28"/>
        </w:rPr>
        <w:drawing>
          <wp:inline distT="0" distB="0" distL="114300" distR="114300" wp14:anchorId="241C16D5" wp14:editId="64A4A2A0">
            <wp:extent cx="5267960" cy="2414270"/>
            <wp:effectExtent l="0" t="0" r="8890" b="5080"/>
            <wp:docPr id="24" name="图片 24" descr="1554989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54989787(1)"/>
                    <pic:cNvPicPr>
                      <a:picLocks noChangeAspect="1"/>
                    </pic:cNvPicPr>
                  </pic:nvPicPr>
                  <pic:blipFill>
                    <a:blip r:embed="rId34" cstate="print"/>
                    <a:stretch>
                      <a:fillRect/>
                    </a:stretch>
                  </pic:blipFill>
                  <pic:spPr>
                    <a:xfrm>
                      <a:off x="0" y="0"/>
                      <a:ext cx="5267960" cy="2414270"/>
                    </a:xfrm>
                    <a:prstGeom prst="rect">
                      <a:avLst/>
                    </a:prstGeom>
                  </pic:spPr>
                </pic:pic>
              </a:graphicData>
            </a:graphic>
          </wp:inline>
        </w:drawing>
      </w:r>
    </w:p>
    <w:p w14:paraId="1B7436F2" w14:textId="77777777" w:rsidR="00D31B59" w:rsidRDefault="00F66745">
      <w:pPr>
        <w:rPr>
          <w:rFonts w:ascii="仿宋_GB2312" w:eastAsia="仿宋_GB2312"/>
          <w:sz w:val="28"/>
          <w:szCs w:val="28"/>
        </w:rPr>
      </w:pPr>
      <w:r>
        <w:rPr>
          <w:rFonts w:ascii="仿宋_GB2312" w:eastAsia="仿宋_GB2312"/>
          <w:noProof/>
          <w:sz w:val="28"/>
          <w:szCs w:val="28"/>
        </w:rPr>
        <w:lastRenderedPageBreak/>
        <w:drawing>
          <wp:inline distT="0" distB="0" distL="114300" distR="114300" wp14:anchorId="1AFFB0C7" wp14:editId="5E2D7997">
            <wp:extent cx="5272405" cy="3230245"/>
            <wp:effectExtent l="0" t="0" r="4445" b="8255"/>
            <wp:docPr id="25" name="图片 25" descr="1554989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54989835(1)"/>
                    <pic:cNvPicPr>
                      <a:picLocks noChangeAspect="1"/>
                    </pic:cNvPicPr>
                  </pic:nvPicPr>
                  <pic:blipFill>
                    <a:blip r:embed="rId35" cstate="print"/>
                    <a:stretch>
                      <a:fillRect/>
                    </a:stretch>
                  </pic:blipFill>
                  <pic:spPr>
                    <a:xfrm>
                      <a:off x="0" y="0"/>
                      <a:ext cx="5272405" cy="3230245"/>
                    </a:xfrm>
                    <a:prstGeom prst="rect">
                      <a:avLst/>
                    </a:prstGeom>
                  </pic:spPr>
                </pic:pic>
              </a:graphicData>
            </a:graphic>
          </wp:inline>
        </w:drawing>
      </w:r>
    </w:p>
    <w:p w14:paraId="546CA4F9" w14:textId="77777777" w:rsidR="00D31B59" w:rsidRDefault="00F66745">
      <w:pPr>
        <w:rPr>
          <w:rFonts w:ascii="仿宋_GB2312" w:eastAsia="仿宋_GB2312"/>
          <w:sz w:val="28"/>
          <w:szCs w:val="28"/>
        </w:rPr>
      </w:pPr>
      <w:r>
        <w:rPr>
          <w:rFonts w:ascii="仿宋_GB2312" w:eastAsia="仿宋_GB2312"/>
          <w:noProof/>
          <w:sz w:val="28"/>
          <w:szCs w:val="28"/>
        </w:rPr>
        <w:drawing>
          <wp:inline distT="0" distB="0" distL="114300" distR="114300" wp14:anchorId="119E71A5" wp14:editId="067A8DFA">
            <wp:extent cx="5272405" cy="3334385"/>
            <wp:effectExtent l="0" t="0" r="4445" b="18415"/>
            <wp:docPr id="26" name="图片 26" descr="1554989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54989886(1)"/>
                    <pic:cNvPicPr>
                      <a:picLocks noChangeAspect="1"/>
                    </pic:cNvPicPr>
                  </pic:nvPicPr>
                  <pic:blipFill>
                    <a:blip r:embed="rId36" cstate="print"/>
                    <a:stretch>
                      <a:fillRect/>
                    </a:stretch>
                  </pic:blipFill>
                  <pic:spPr>
                    <a:xfrm>
                      <a:off x="0" y="0"/>
                      <a:ext cx="5272405" cy="3334385"/>
                    </a:xfrm>
                    <a:prstGeom prst="rect">
                      <a:avLst/>
                    </a:prstGeom>
                  </pic:spPr>
                </pic:pic>
              </a:graphicData>
            </a:graphic>
          </wp:inline>
        </w:drawing>
      </w:r>
    </w:p>
    <w:p w14:paraId="6701D419" w14:textId="77777777" w:rsidR="00D31B59" w:rsidRDefault="00F66745">
      <w:pPr>
        <w:rPr>
          <w:rFonts w:ascii="仿宋_GB2312" w:eastAsia="仿宋_GB2312"/>
          <w:sz w:val="28"/>
          <w:szCs w:val="28"/>
        </w:rPr>
      </w:pPr>
      <w:r>
        <w:rPr>
          <w:rFonts w:ascii="仿宋_GB2312" w:eastAsia="仿宋_GB2312" w:hint="eastAsia"/>
          <w:sz w:val="28"/>
          <w:szCs w:val="28"/>
        </w:rPr>
        <w:t>可选择“给客服留言”或“在线咨询”，均会有相应的客服人员及时接受同学们的咨询建议，解答同学们的各类问题。</w:t>
      </w:r>
    </w:p>
    <w:p w14:paraId="4C32B5A6" w14:textId="77777777" w:rsidR="00D31B59" w:rsidRPr="00013A42" w:rsidRDefault="00013A42" w:rsidP="00013A42">
      <w:pPr>
        <w:tabs>
          <w:tab w:val="left" w:pos="312"/>
        </w:tabs>
        <w:rPr>
          <w:rFonts w:ascii="仿宋" w:eastAsia="仿宋_GB2312" w:hAnsi="仿宋" w:cs="仿宋"/>
          <w:b/>
          <w:bCs/>
          <w:sz w:val="28"/>
          <w:szCs w:val="28"/>
        </w:rPr>
      </w:pPr>
      <w:r>
        <w:rPr>
          <w:rFonts w:ascii="仿宋" w:eastAsia="仿宋_GB2312" w:hAnsi="仿宋" w:cs="仿宋" w:hint="eastAsia"/>
          <w:b/>
          <w:bCs/>
          <w:sz w:val="28"/>
          <w:szCs w:val="28"/>
        </w:rPr>
        <w:t>2</w:t>
      </w:r>
      <w:r>
        <w:rPr>
          <w:rFonts w:ascii="仿宋" w:eastAsia="仿宋_GB2312" w:hAnsi="仿宋" w:cs="仿宋" w:hint="eastAsia"/>
          <w:b/>
          <w:bCs/>
          <w:sz w:val="28"/>
          <w:szCs w:val="28"/>
        </w:rPr>
        <w:t>、</w:t>
      </w:r>
      <w:r w:rsidR="00F66745" w:rsidRPr="00013A42">
        <w:rPr>
          <w:rFonts w:ascii="仿宋_GB2312" w:eastAsia="仿宋_GB2312" w:hint="eastAsia"/>
          <w:b/>
          <w:bCs/>
          <w:sz w:val="28"/>
          <w:szCs w:val="28"/>
        </w:rPr>
        <w:t>请同学们认真阅读并下载保存本通知，根据操作指南熟悉使用方式。</w:t>
      </w:r>
    </w:p>
    <w:p w14:paraId="506F70BA" w14:textId="77777777" w:rsidR="00D31B59" w:rsidRPr="00013A42" w:rsidRDefault="00013A42">
      <w:pPr>
        <w:rPr>
          <w:rFonts w:ascii="仿宋" w:eastAsia="仿宋_GB2312" w:hAnsi="仿宋" w:cs="仿宋"/>
          <w:sz w:val="28"/>
          <w:szCs w:val="28"/>
        </w:rPr>
      </w:pPr>
      <w:r>
        <w:rPr>
          <w:rFonts w:ascii="仿宋" w:eastAsia="仿宋_GB2312" w:hAnsi="仿宋" w:cs="仿宋" w:hint="eastAsia"/>
          <w:sz w:val="28"/>
          <w:szCs w:val="28"/>
        </w:rPr>
        <w:t>3</w:t>
      </w:r>
      <w:r>
        <w:rPr>
          <w:rFonts w:ascii="仿宋" w:eastAsia="仿宋_GB2312" w:hAnsi="仿宋" w:cs="仿宋" w:hint="eastAsia"/>
          <w:sz w:val="28"/>
          <w:szCs w:val="28"/>
        </w:rPr>
        <w:t>、</w:t>
      </w:r>
      <w:r w:rsidRPr="00013A42">
        <w:rPr>
          <w:rFonts w:ascii="仿宋" w:eastAsia="仿宋_GB2312" w:hAnsi="仿宋" w:cs="仿宋" w:hint="eastAsia"/>
          <w:sz w:val="28"/>
          <w:szCs w:val="28"/>
        </w:rPr>
        <w:t>有关《网络社会实践课程》修读的教务问题</w:t>
      </w:r>
      <w:r w:rsidR="00F66745" w:rsidRPr="00013A42">
        <w:rPr>
          <w:rFonts w:ascii="仿宋" w:eastAsia="仿宋_GB2312" w:hAnsi="仿宋" w:cs="仿宋" w:hint="eastAsia"/>
          <w:sz w:val="28"/>
          <w:szCs w:val="28"/>
        </w:rPr>
        <w:t>，请联系：</w:t>
      </w:r>
      <w:r w:rsidRPr="00013A42">
        <w:rPr>
          <w:rFonts w:ascii="仿宋" w:eastAsia="仿宋_GB2312" w:hAnsi="仿宋" w:cs="仿宋" w:hint="eastAsia"/>
          <w:sz w:val="28"/>
          <w:szCs w:val="28"/>
        </w:rPr>
        <w:t>马克思主</w:t>
      </w:r>
      <w:r w:rsidRPr="00013A42">
        <w:rPr>
          <w:rFonts w:ascii="仿宋" w:eastAsia="仿宋_GB2312" w:hAnsi="仿宋" w:cs="仿宋" w:hint="eastAsia"/>
          <w:sz w:val="28"/>
          <w:szCs w:val="28"/>
        </w:rPr>
        <w:lastRenderedPageBreak/>
        <w:t>义学院教学秘书张靓老师</w:t>
      </w:r>
      <w:r>
        <w:rPr>
          <w:rFonts w:ascii="仿宋" w:eastAsia="仿宋_GB2312" w:hAnsi="仿宋" w:cs="仿宋" w:hint="eastAsia"/>
          <w:sz w:val="28"/>
          <w:szCs w:val="28"/>
        </w:rPr>
        <w:t>，</w:t>
      </w:r>
      <w:r w:rsidR="00F66745" w:rsidRPr="00013A42">
        <w:rPr>
          <w:rFonts w:ascii="仿宋" w:eastAsia="仿宋_GB2312" w:hAnsi="仿宋" w:cs="仿宋" w:hint="eastAsia"/>
          <w:sz w:val="28"/>
          <w:szCs w:val="28"/>
        </w:rPr>
        <w:t>联系电话：</w:t>
      </w:r>
      <w:r w:rsidRPr="00013A42">
        <w:rPr>
          <w:rFonts w:ascii="仿宋" w:eastAsia="仿宋_GB2312" w:hAnsi="仿宋" w:cs="仿宋" w:hint="eastAsia"/>
          <w:sz w:val="28"/>
          <w:szCs w:val="28"/>
        </w:rPr>
        <w:t>39328995</w:t>
      </w:r>
    </w:p>
    <w:p w14:paraId="5E447E17" w14:textId="77777777" w:rsidR="00D31B59" w:rsidRDefault="00013A42" w:rsidP="00013A42">
      <w:pPr>
        <w:tabs>
          <w:tab w:val="left" w:pos="312"/>
        </w:tabs>
        <w:rPr>
          <w:rFonts w:ascii="仿宋" w:eastAsia="仿宋_GB2312" w:hAnsi="仿宋" w:cs="仿宋"/>
          <w:sz w:val="28"/>
          <w:szCs w:val="28"/>
        </w:rPr>
      </w:pPr>
      <w:r>
        <w:rPr>
          <w:rFonts w:ascii="仿宋" w:eastAsia="仿宋_GB2312" w:hAnsi="仿宋" w:cs="仿宋" w:hint="eastAsia"/>
          <w:sz w:val="28"/>
          <w:szCs w:val="28"/>
        </w:rPr>
        <w:t>4</w:t>
      </w:r>
      <w:r>
        <w:rPr>
          <w:rFonts w:ascii="仿宋" w:eastAsia="仿宋_GB2312" w:hAnsi="仿宋" w:cs="仿宋" w:hint="eastAsia"/>
          <w:sz w:val="28"/>
          <w:szCs w:val="28"/>
        </w:rPr>
        <w:t>、</w:t>
      </w:r>
      <w:r w:rsidR="00F66745">
        <w:rPr>
          <w:rFonts w:ascii="仿宋" w:eastAsia="仿宋_GB2312" w:hAnsi="仿宋" w:cs="仿宋" w:hint="eastAsia"/>
          <w:sz w:val="28"/>
          <w:szCs w:val="28"/>
        </w:rPr>
        <w:t>本平台技术负责人、服务专员及联系方式：</w:t>
      </w:r>
    </w:p>
    <w:p w14:paraId="04A60F20"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技术负责人：李东源</w:t>
      </w:r>
    </w:p>
    <w:p w14:paraId="719EFF23"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联系方式：</w:t>
      </w:r>
      <w:hyperlink r:id="rId37" w:history="1">
        <w:r>
          <w:rPr>
            <w:rStyle w:val="a4"/>
            <w:rFonts w:ascii="仿宋" w:eastAsia="仿宋_GB2312" w:hAnsi="仿宋" w:cs="仿宋" w:hint="eastAsia"/>
            <w:sz w:val="28"/>
            <w:szCs w:val="28"/>
          </w:rPr>
          <w:t>lidongyuan@chaoxing.com</w:t>
        </w:r>
        <w:r>
          <w:rPr>
            <w:rStyle w:val="a4"/>
            <w:rFonts w:ascii="仿宋" w:eastAsia="仿宋_GB2312" w:hAnsi="仿宋" w:cs="仿宋" w:hint="eastAsia"/>
            <w:sz w:val="28"/>
            <w:szCs w:val="28"/>
          </w:rPr>
          <w:t>；</w:t>
        </w:r>
        <w:r>
          <w:rPr>
            <w:rStyle w:val="a4"/>
            <w:rFonts w:ascii="仿宋" w:eastAsia="仿宋_GB2312" w:hAnsi="仿宋" w:cs="仿宋" w:hint="eastAsia"/>
            <w:sz w:val="28"/>
            <w:szCs w:val="28"/>
          </w:rPr>
          <w:t>13051101056</w:t>
        </w:r>
      </w:hyperlink>
    </w:p>
    <w:p w14:paraId="7BAECA9C"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服务专员：郭超远</w:t>
      </w:r>
    </w:p>
    <w:p w14:paraId="7B9FCE43" w14:textId="77777777" w:rsidR="00D31B59" w:rsidRDefault="00F66745">
      <w:pPr>
        <w:rPr>
          <w:rFonts w:ascii="仿宋" w:eastAsia="仿宋_GB2312" w:hAnsi="仿宋" w:cs="仿宋"/>
          <w:sz w:val="28"/>
          <w:szCs w:val="28"/>
        </w:rPr>
      </w:pPr>
      <w:r>
        <w:rPr>
          <w:rFonts w:ascii="仿宋" w:eastAsia="仿宋_GB2312" w:hAnsi="仿宋" w:cs="仿宋" w:hint="eastAsia"/>
          <w:sz w:val="28"/>
          <w:szCs w:val="28"/>
        </w:rPr>
        <w:t>联系方式：</w:t>
      </w:r>
      <w:hyperlink r:id="rId38" w:history="1">
        <w:r>
          <w:rPr>
            <w:rStyle w:val="a4"/>
            <w:rFonts w:ascii="仿宋" w:eastAsia="仿宋_GB2312" w:hAnsi="仿宋" w:cs="仿宋" w:hint="eastAsia"/>
            <w:sz w:val="28"/>
            <w:szCs w:val="28"/>
          </w:rPr>
          <w:t>chaoyuan@chaoxing.com</w:t>
        </w:r>
        <w:r>
          <w:rPr>
            <w:rStyle w:val="a4"/>
            <w:rFonts w:ascii="仿宋" w:eastAsia="仿宋_GB2312" w:hAnsi="仿宋" w:cs="仿宋" w:hint="eastAsia"/>
            <w:sz w:val="28"/>
            <w:szCs w:val="28"/>
          </w:rPr>
          <w:t>；</w:t>
        </w:r>
        <w:r>
          <w:rPr>
            <w:rStyle w:val="a4"/>
            <w:rFonts w:ascii="仿宋" w:eastAsia="仿宋_GB2312" w:hAnsi="仿宋" w:cs="仿宋" w:hint="eastAsia"/>
            <w:sz w:val="28"/>
            <w:szCs w:val="28"/>
          </w:rPr>
          <w:t>15622387993</w:t>
        </w:r>
      </w:hyperlink>
    </w:p>
    <w:p w14:paraId="3CB8C977" w14:textId="77777777" w:rsidR="00D31B59" w:rsidRDefault="00D31B59">
      <w:pPr>
        <w:rPr>
          <w:rFonts w:ascii="仿宋" w:eastAsia="仿宋_GB2312" w:hAnsi="仿宋" w:cs="仿宋"/>
          <w:sz w:val="28"/>
          <w:szCs w:val="28"/>
        </w:rPr>
      </w:pPr>
    </w:p>
    <w:sectPr w:rsidR="00D31B59" w:rsidSect="00D31B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10666" w14:textId="77777777" w:rsidR="009A2291" w:rsidRDefault="009A2291" w:rsidP="000438E9">
      <w:r>
        <w:separator/>
      </w:r>
    </w:p>
  </w:endnote>
  <w:endnote w:type="continuationSeparator" w:id="0">
    <w:p w14:paraId="2AA54DE1" w14:textId="77777777" w:rsidR="009A2291" w:rsidRDefault="009A2291" w:rsidP="00043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65973" w14:textId="77777777" w:rsidR="009A2291" w:rsidRDefault="009A2291" w:rsidP="000438E9">
      <w:r>
        <w:separator/>
      </w:r>
    </w:p>
  </w:footnote>
  <w:footnote w:type="continuationSeparator" w:id="0">
    <w:p w14:paraId="51E7A904" w14:textId="77777777" w:rsidR="009A2291" w:rsidRDefault="009A2291" w:rsidP="00043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55B90"/>
    <w:multiLevelType w:val="singleLevel"/>
    <w:tmpl w:val="15355B90"/>
    <w:lvl w:ilvl="0">
      <w:start w:val="2"/>
      <w:numFmt w:val="chineseCounting"/>
      <w:suff w:val="nothing"/>
      <w:lvlText w:val="%1、"/>
      <w:lvlJc w:val="left"/>
      <w:rPr>
        <w:rFonts w:hint="eastAsia"/>
      </w:rPr>
    </w:lvl>
  </w:abstractNum>
  <w:abstractNum w:abstractNumId="1" w15:restartNumberingAfterBreak="0">
    <w:nsid w:val="29DBE4E6"/>
    <w:multiLevelType w:val="singleLevel"/>
    <w:tmpl w:val="29DBE4E6"/>
    <w:lvl w:ilvl="0">
      <w:start w:val="2"/>
      <w:numFmt w:val="decimal"/>
      <w:suff w:val="nothing"/>
      <w:lvlText w:val="（%1）"/>
      <w:lvlJc w:val="left"/>
    </w:lvl>
  </w:abstractNum>
  <w:abstractNum w:abstractNumId="2" w15:restartNumberingAfterBreak="0">
    <w:nsid w:val="73C3CAA8"/>
    <w:multiLevelType w:val="singleLevel"/>
    <w:tmpl w:val="73C3CAA8"/>
    <w:lvl w:ilvl="0">
      <w:start w:val="1"/>
      <w:numFmt w:val="decimal"/>
      <w:lvlText w:val="%1."/>
      <w:lvlJc w:val="left"/>
      <w:pPr>
        <w:tabs>
          <w:tab w:val="left" w:pos="312"/>
        </w:tabs>
      </w:pPr>
    </w:lvl>
  </w:abstractNum>
  <w:abstractNum w:abstractNumId="3" w15:restartNumberingAfterBreak="0">
    <w:nsid w:val="758AF171"/>
    <w:multiLevelType w:val="singleLevel"/>
    <w:tmpl w:val="758AF171"/>
    <w:lvl w:ilvl="0">
      <w:start w:val="1"/>
      <w:numFmt w:val="decimal"/>
      <w:lvlText w:val="%1."/>
      <w:lvlJc w:val="left"/>
      <w:pPr>
        <w:tabs>
          <w:tab w:val="left" w:pos="312"/>
        </w:tabs>
      </w:pPr>
    </w:lvl>
  </w:abstractNum>
  <w:abstractNum w:abstractNumId="4" w15:restartNumberingAfterBreak="0">
    <w:nsid w:val="774623A1"/>
    <w:multiLevelType w:val="singleLevel"/>
    <w:tmpl w:val="774623A1"/>
    <w:lvl w:ilvl="0">
      <w:start w:val="1"/>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677F76EE"/>
    <w:rsid w:val="00013A42"/>
    <w:rsid w:val="00021121"/>
    <w:rsid w:val="000438E9"/>
    <w:rsid w:val="00186738"/>
    <w:rsid w:val="004653E0"/>
    <w:rsid w:val="004D0994"/>
    <w:rsid w:val="008F20FA"/>
    <w:rsid w:val="009A2291"/>
    <w:rsid w:val="00B543C4"/>
    <w:rsid w:val="00D31B59"/>
    <w:rsid w:val="00E475A0"/>
    <w:rsid w:val="00E5610B"/>
    <w:rsid w:val="00F66745"/>
    <w:rsid w:val="00F90524"/>
    <w:rsid w:val="0F8D6953"/>
    <w:rsid w:val="673B55CF"/>
    <w:rsid w:val="677F7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007E7"/>
  <w15:docId w15:val="{435027EB-D6E0-46CA-94C9-0D26C485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31B59"/>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D31B59"/>
    <w:pPr>
      <w:spacing w:beforeAutospacing="1" w:afterAutospacing="1"/>
      <w:jc w:val="left"/>
    </w:pPr>
    <w:rPr>
      <w:kern w:val="0"/>
      <w:sz w:val="24"/>
    </w:rPr>
  </w:style>
  <w:style w:type="character" w:styleId="a4">
    <w:name w:val="Hyperlink"/>
    <w:basedOn w:val="a0"/>
    <w:qFormat/>
    <w:rsid w:val="00D31B59"/>
    <w:rPr>
      <w:color w:val="0000FF"/>
      <w:u w:val="single"/>
    </w:rPr>
  </w:style>
  <w:style w:type="paragraph" w:styleId="a5">
    <w:name w:val="header"/>
    <w:basedOn w:val="a"/>
    <w:link w:val="a6"/>
    <w:rsid w:val="000438E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438E9"/>
    <w:rPr>
      <w:rFonts w:ascii="Calibri" w:hAnsi="Calibri"/>
      <w:kern w:val="2"/>
      <w:sz w:val="18"/>
      <w:szCs w:val="18"/>
    </w:rPr>
  </w:style>
  <w:style w:type="paragraph" w:styleId="a7">
    <w:name w:val="footer"/>
    <w:basedOn w:val="a"/>
    <w:link w:val="a8"/>
    <w:rsid w:val="000438E9"/>
    <w:pPr>
      <w:tabs>
        <w:tab w:val="center" w:pos="4153"/>
        <w:tab w:val="right" w:pos="8306"/>
      </w:tabs>
      <w:snapToGrid w:val="0"/>
      <w:jc w:val="left"/>
    </w:pPr>
    <w:rPr>
      <w:sz w:val="18"/>
      <w:szCs w:val="18"/>
    </w:rPr>
  </w:style>
  <w:style w:type="character" w:customStyle="1" w:styleId="a8">
    <w:name w:val="页脚 字符"/>
    <w:basedOn w:val="a0"/>
    <w:link w:val="a7"/>
    <w:rsid w:val="000438E9"/>
    <w:rPr>
      <w:rFonts w:ascii="Calibri" w:hAnsi="Calibri"/>
      <w:kern w:val="2"/>
      <w:sz w:val="18"/>
      <w:szCs w:val="18"/>
    </w:rPr>
  </w:style>
  <w:style w:type="paragraph" w:styleId="a9">
    <w:name w:val="Balloon Text"/>
    <w:basedOn w:val="a"/>
    <w:link w:val="aa"/>
    <w:rsid w:val="000438E9"/>
    <w:rPr>
      <w:sz w:val="18"/>
      <w:szCs w:val="18"/>
    </w:rPr>
  </w:style>
  <w:style w:type="character" w:customStyle="1" w:styleId="aa">
    <w:name w:val="批注框文本 字符"/>
    <w:basedOn w:val="a0"/>
    <w:link w:val="a9"/>
    <w:rsid w:val="000438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chaoyuan@chaoxing.com&#65307;1562238799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lidongyuan@chaoxing.com&#65307;1305110105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yiyuan</dc:creator>
  <cp:lastModifiedBy>汪 卓然</cp:lastModifiedBy>
  <cp:revision>7</cp:revision>
  <dcterms:created xsi:type="dcterms:W3CDTF">2019-04-11T14:51:00Z</dcterms:created>
  <dcterms:modified xsi:type="dcterms:W3CDTF">2020-05-14T10:18:00Z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